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6687" w14:textId="1C4EE9E6" w:rsidR="008F515E" w:rsidRPr="006F2D9E" w:rsidRDefault="008F515E" w:rsidP="008F515E">
      <w:pPr>
        <w:suppressAutoHyphens/>
        <w:spacing w:after="160" w:line="259"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Es wird </w:t>
      </w:r>
      <w:r w:rsidRPr="006F2D9E">
        <w:rPr>
          <w:rFonts w:ascii="Arial" w:eastAsiaTheme="minorHAnsi" w:hAnsi="Arial" w:cs="Arial"/>
          <w:b/>
          <w:color w:val="auto"/>
          <w:u w:val="single"/>
          <w:lang w:eastAsia="en-US"/>
        </w:rPr>
        <w:t>ausdrücklich empfohlen</w:t>
      </w:r>
      <w:r w:rsidRPr="006F2D9E">
        <w:rPr>
          <w:rFonts w:ascii="Arial" w:eastAsiaTheme="minorHAnsi" w:hAnsi="Arial" w:cs="Arial"/>
          <w:color w:val="auto"/>
          <w:lang w:eastAsia="en-US"/>
        </w:rPr>
        <w:t xml:space="preserve">, den Satzungsentwurf noch vor Beschlussfassung in der </w:t>
      </w:r>
      <w:r w:rsidR="006F2D9E" w:rsidRPr="006F2D9E">
        <w:rPr>
          <w:rFonts w:ascii="Arial" w:eastAsiaTheme="minorHAnsi" w:hAnsi="Arial" w:cs="Arial"/>
          <w:color w:val="auto"/>
          <w:lang w:eastAsia="en-US"/>
        </w:rPr>
        <w:t>Gesellschafter</w:t>
      </w:r>
      <w:r w:rsidRPr="006F2D9E">
        <w:rPr>
          <w:rFonts w:ascii="Arial" w:eastAsiaTheme="minorHAnsi" w:hAnsi="Arial" w:cs="Arial"/>
          <w:color w:val="auto"/>
          <w:lang w:eastAsia="en-US"/>
        </w:rPr>
        <w:t>versammlung vom zuständigen Finanzamt überprüfen zu lassen. So können im Bedarfsfall gegebenenfalls noch Änderungen im Entwurf vorgenommen werden.</w:t>
      </w:r>
    </w:p>
    <w:p w14:paraId="2944CB87" w14:textId="77777777" w:rsidR="008F515E" w:rsidRPr="006F2D9E" w:rsidRDefault="008F515E" w:rsidP="000A50D3">
      <w:pPr>
        <w:suppressAutoHyphens/>
        <w:spacing w:after="160" w:line="254" w:lineRule="auto"/>
        <w:ind w:left="0" w:right="0" w:firstLine="0"/>
        <w:rPr>
          <w:rFonts w:ascii="Arial" w:eastAsiaTheme="minorHAnsi" w:hAnsi="Arial" w:cs="Arial"/>
          <w:b/>
          <w:color w:val="auto"/>
          <w:u w:val="single"/>
          <w:lang w:eastAsia="en-US"/>
        </w:rPr>
      </w:pPr>
    </w:p>
    <w:p w14:paraId="616E2209" w14:textId="24DC0F54" w:rsidR="000A50D3" w:rsidRPr="006F2D9E" w:rsidRDefault="000A50D3" w:rsidP="000A50D3">
      <w:pPr>
        <w:suppressAutoHyphens/>
        <w:spacing w:after="160" w:line="254" w:lineRule="auto"/>
        <w:ind w:left="0" w:right="0" w:firstLine="0"/>
        <w:rPr>
          <w:rFonts w:ascii="Arial" w:eastAsiaTheme="minorHAnsi" w:hAnsi="Arial" w:cs="Arial"/>
          <w:b/>
          <w:color w:val="auto"/>
          <w:u w:val="single"/>
          <w:lang w:eastAsia="en-US"/>
        </w:rPr>
      </w:pPr>
      <w:r w:rsidRPr="006F2D9E">
        <w:rPr>
          <w:rFonts w:ascii="Arial" w:eastAsiaTheme="minorHAnsi" w:hAnsi="Arial" w:cs="Arial"/>
          <w:b/>
          <w:color w:val="auto"/>
          <w:u w:val="single"/>
          <w:lang w:eastAsia="en-US"/>
        </w:rPr>
        <w:t>Hinweis zur Verwendung von geschlechtergerechter Sprache:</w:t>
      </w:r>
    </w:p>
    <w:p w14:paraId="616E220A" w14:textId="091511DD" w:rsidR="000A50D3" w:rsidRPr="006F2D9E" w:rsidRDefault="002952FB" w:rsidP="000A50D3">
      <w:pPr>
        <w:suppressAutoHyphens/>
        <w:spacing w:after="160" w:line="254"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Bereits mit Erlass vom 18. April </w:t>
      </w:r>
      <w:r w:rsidR="000A50D3" w:rsidRPr="006F2D9E">
        <w:rPr>
          <w:rFonts w:ascii="Arial" w:eastAsiaTheme="minorHAnsi" w:hAnsi="Arial" w:cs="Arial"/>
          <w:color w:val="auto"/>
          <w:lang w:eastAsia="en-US"/>
        </w:rPr>
        <w:t>2018 (ABl. 2018, S. 226) wurden in der Erzdiözese Freiburg Regelungen zur Verwendung von geschlechtergerechter Sprache getroffen, um fachlich und sachlich einwandfrei und zugleich geschlechtergerecht zu formulieren.</w:t>
      </w:r>
    </w:p>
    <w:p w14:paraId="616E220B" w14:textId="77777777" w:rsidR="000A50D3" w:rsidRPr="006F2D9E" w:rsidRDefault="000A50D3" w:rsidP="000A50D3">
      <w:pPr>
        <w:suppressAutoHyphens/>
        <w:spacing w:after="160" w:line="254"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Unübersichtlichkeit und Ablenkung vom Regelungsinhalt führen.</w:t>
      </w:r>
    </w:p>
    <w:p w14:paraId="616E220C" w14:textId="77777777" w:rsidR="000A50D3" w:rsidRDefault="000A50D3" w:rsidP="000A50D3">
      <w:pPr>
        <w:suppressAutoHyphens/>
        <w:spacing w:after="160" w:line="254"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p w14:paraId="0E67D038" w14:textId="77777777" w:rsidR="00434898" w:rsidRDefault="00434898" w:rsidP="000A50D3">
      <w:pPr>
        <w:suppressAutoHyphens/>
        <w:spacing w:after="160" w:line="254" w:lineRule="auto"/>
        <w:ind w:left="0" w:right="0" w:firstLine="0"/>
        <w:rPr>
          <w:rFonts w:ascii="Arial" w:eastAsiaTheme="minorHAnsi" w:hAnsi="Arial" w:cs="Arial"/>
          <w:color w:val="auto"/>
          <w:lang w:eastAsia="en-US"/>
        </w:rPr>
      </w:pPr>
    </w:p>
    <w:p w14:paraId="1512C351" w14:textId="77777777" w:rsidR="00434898" w:rsidRDefault="00434898" w:rsidP="00434898">
      <w:pPr>
        <w:spacing w:after="211" w:line="259" w:lineRule="auto"/>
        <w:ind w:right="9"/>
        <w:jc w:val="left"/>
        <w:rPr>
          <w:rFonts w:ascii="Arial" w:eastAsiaTheme="minorHAnsi" w:hAnsi="Arial" w:cs="Arial"/>
          <w:color w:val="auto"/>
          <w:lang w:eastAsia="en-US"/>
        </w:rPr>
      </w:pPr>
      <w:r w:rsidRPr="00DB3161">
        <w:rPr>
          <w:rFonts w:ascii="Arial" w:eastAsiaTheme="minorHAnsi" w:hAnsi="Arial" w:cs="Arial"/>
          <w:b/>
          <w:bCs/>
          <w:color w:val="auto"/>
          <w:u w:val="single"/>
          <w:lang w:eastAsia="en-US"/>
        </w:rPr>
        <w:t>Hinweis zu den nachfolgend enthaltenen Fußnoten:</w:t>
      </w:r>
      <w:r w:rsidRPr="00DB3161">
        <w:rPr>
          <w:rFonts w:ascii="Arial" w:eastAsiaTheme="minorHAnsi" w:hAnsi="Arial" w:cs="Arial"/>
          <w:color w:val="auto"/>
          <w:lang w:eastAsia="en-US"/>
        </w:rPr>
        <w:t xml:space="preserve"> </w:t>
      </w:r>
    </w:p>
    <w:p w14:paraId="0BDBA510" w14:textId="4E89F92E" w:rsidR="00434898" w:rsidRPr="00DB3161" w:rsidRDefault="00434898" w:rsidP="00434898">
      <w:pPr>
        <w:spacing w:after="211" w:line="259" w:lineRule="auto"/>
        <w:ind w:right="9"/>
        <w:jc w:val="left"/>
        <w:rPr>
          <w:rFonts w:ascii="Arial" w:eastAsiaTheme="minorHAnsi" w:hAnsi="Arial" w:cs="Arial"/>
          <w:color w:val="auto"/>
          <w:lang w:eastAsia="en-US"/>
        </w:rPr>
      </w:pPr>
      <w:r w:rsidRPr="00DB3161">
        <w:rPr>
          <w:rFonts w:ascii="Arial" w:eastAsiaTheme="minorHAnsi" w:hAnsi="Arial" w:cs="Arial"/>
          <w:color w:val="auto"/>
          <w:lang w:eastAsia="en-US"/>
        </w:rPr>
        <w:t xml:space="preserve">Diese dienen der Erläuterung und sind bei Ausfertigung des </w:t>
      </w:r>
      <w:r>
        <w:rPr>
          <w:rFonts w:ascii="Arial" w:eastAsiaTheme="minorHAnsi" w:hAnsi="Arial" w:cs="Arial"/>
          <w:color w:val="auto"/>
          <w:lang w:eastAsia="en-US"/>
        </w:rPr>
        <w:t>Gesellschaftsvertrags</w:t>
      </w:r>
      <w:r w:rsidRPr="00DB3161">
        <w:rPr>
          <w:rFonts w:ascii="Arial" w:eastAsiaTheme="minorHAnsi" w:hAnsi="Arial" w:cs="Arial"/>
          <w:color w:val="auto"/>
          <w:lang w:eastAsia="en-US"/>
        </w:rPr>
        <w:t xml:space="preserve"> nicht zu übernehmen.</w:t>
      </w:r>
    </w:p>
    <w:p w14:paraId="378B7260" w14:textId="77777777" w:rsidR="00434898" w:rsidRPr="006F2D9E" w:rsidRDefault="00434898" w:rsidP="000A50D3">
      <w:pPr>
        <w:suppressAutoHyphens/>
        <w:spacing w:after="160" w:line="254" w:lineRule="auto"/>
        <w:ind w:left="0" w:right="0" w:firstLine="0"/>
        <w:rPr>
          <w:rFonts w:ascii="Arial" w:eastAsiaTheme="minorHAnsi" w:hAnsi="Arial" w:cs="Arial"/>
          <w:color w:val="auto"/>
          <w:lang w:eastAsia="en-US"/>
        </w:rPr>
      </w:pPr>
    </w:p>
    <w:p w14:paraId="616E220D" w14:textId="77777777" w:rsidR="000A50D3" w:rsidRPr="006F2D9E" w:rsidRDefault="000A50D3" w:rsidP="000A50D3">
      <w:pPr>
        <w:spacing w:after="211" w:line="256" w:lineRule="auto"/>
        <w:ind w:right="9"/>
        <w:jc w:val="center"/>
        <w:rPr>
          <w:rFonts w:ascii="Arial" w:hAnsi="Arial" w:cs="Arial"/>
          <w:b/>
          <w:sz w:val="28"/>
        </w:rPr>
      </w:pPr>
    </w:p>
    <w:p w14:paraId="22E93902" w14:textId="77777777" w:rsidR="00DE61C8" w:rsidRPr="006F2D9E" w:rsidRDefault="00DE61C8">
      <w:pPr>
        <w:spacing w:after="160" w:line="259" w:lineRule="auto"/>
        <w:ind w:left="0" w:right="0" w:firstLine="0"/>
        <w:jc w:val="left"/>
        <w:rPr>
          <w:rFonts w:ascii="Arial" w:hAnsi="Arial" w:cs="Arial"/>
          <w:b/>
          <w:sz w:val="28"/>
        </w:rPr>
      </w:pPr>
      <w:r w:rsidRPr="006F2D9E">
        <w:rPr>
          <w:rFonts w:ascii="Arial" w:hAnsi="Arial" w:cs="Arial"/>
          <w:b/>
          <w:sz w:val="28"/>
        </w:rPr>
        <w:br w:type="page"/>
      </w:r>
    </w:p>
    <w:p w14:paraId="616E220E" w14:textId="77696F8C" w:rsidR="000A50D3" w:rsidRPr="006F2D9E" w:rsidRDefault="000A50D3" w:rsidP="000A50D3">
      <w:pPr>
        <w:spacing w:after="211" w:line="256" w:lineRule="auto"/>
        <w:ind w:right="9"/>
        <w:jc w:val="center"/>
        <w:rPr>
          <w:rFonts w:ascii="Arial" w:hAnsi="Arial" w:cs="Arial"/>
          <w:b/>
          <w:sz w:val="28"/>
        </w:rPr>
      </w:pPr>
      <w:r w:rsidRPr="006F2D9E">
        <w:rPr>
          <w:rFonts w:ascii="Arial" w:hAnsi="Arial" w:cs="Arial"/>
          <w:b/>
          <w:sz w:val="28"/>
        </w:rPr>
        <w:t>Gesellschaftsvertrag</w:t>
      </w:r>
    </w:p>
    <w:p w14:paraId="616E220F" w14:textId="77777777" w:rsidR="000A50D3" w:rsidRPr="006F2D9E" w:rsidRDefault="000A50D3" w:rsidP="000A50D3">
      <w:pPr>
        <w:spacing w:after="0" w:line="256" w:lineRule="auto"/>
        <w:ind w:right="5"/>
        <w:jc w:val="center"/>
        <w:rPr>
          <w:rFonts w:ascii="Arial" w:hAnsi="Arial" w:cs="Arial"/>
          <w:b/>
          <w:sz w:val="28"/>
        </w:rPr>
      </w:pPr>
      <w:r w:rsidRPr="006F2D9E">
        <w:rPr>
          <w:rFonts w:ascii="Arial" w:hAnsi="Arial" w:cs="Arial"/>
          <w:b/>
          <w:sz w:val="28"/>
        </w:rPr>
        <w:t xml:space="preserve">der Katholischen/ Kirchlichen Sozialstation </w:t>
      </w:r>
    </w:p>
    <w:p w14:paraId="616E2210" w14:textId="77777777" w:rsidR="000A50D3" w:rsidRPr="006F2D9E" w:rsidRDefault="000A50D3" w:rsidP="000A50D3">
      <w:pPr>
        <w:spacing w:after="0" w:line="256" w:lineRule="auto"/>
        <w:ind w:right="5"/>
        <w:jc w:val="center"/>
        <w:rPr>
          <w:rFonts w:ascii="Arial" w:hAnsi="Arial" w:cs="Arial"/>
          <w:b/>
          <w:sz w:val="28"/>
        </w:rPr>
      </w:pPr>
    </w:p>
    <w:p w14:paraId="616E2211" w14:textId="77777777" w:rsidR="000A50D3" w:rsidRPr="006F2D9E" w:rsidRDefault="000A50D3" w:rsidP="000A50D3">
      <w:pPr>
        <w:spacing w:after="0" w:line="256" w:lineRule="auto"/>
        <w:ind w:right="5"/>
        <w:jc w:val="center"/>
        <w:rPr>
          <w:rFonts w:ascii="Arial" w:hAnsi="Arial" w:cs="Arial"/>
        </w:rPr>
      </w:pPr>
      <w:r w:rsidRPr="006F2D9E">
        <w:rPr>
          <w:rFonts w:ascii="Arial" w:hAnsi="Arial" w:cs="Arial"/>
          <w:b/>
          <w:sz w:val="28"/>
        </w:rPr>
        <w:t>. . . . . . . . . . . . . . . . . . . . .</w:t>
      </w:r>
    </w:p>
    <w:p w14:paraId="616E2212" w14:textId="77777777" w:rsidR="000A50D3" w:rsidRPr="006F2D9E" w:rsidRDefault="000A50D3" w:rsidP="000A50D3">
      <w:pPr>
        <w:spacing w:after="211" w:line="256" w:lineRule="auto"/>
        <w:ind w:right="9"/>
        <w:jc w:val="center"/>
        <w:rPr>
          <w:rFonts w:ascii="Arial" w:hAnsi="Arial" w:cs="Arial"/>
          <w:b/>
          <w:sz w:val="28"/>
        </w:rPr>
      </w:pPr>
      <w:r w:rsidRPr="006F2D9E">
        <w:rPr>
          <w:rFonts w:ascii="Arial" w:hAnsi="Arial" w:cs="Arial"/>
          <w:b/>
          <w:sz w:val="28"/>
        </w:rPr>
        <w:t xml:space="preserve"> gGmbH</w:t>
      </w:r>
    </w:p>
    <w:p w14:paraId="616E2213" w14:textId="77777777" w:rsidR="000A50D3" w:rsidRPr="006F2D9E" w:rsidRDefault="000A50D3" w:rsidP="000A50D3">
      <w:pPr>
        <w:spacing w:after="211" w:line="256" w:lineRule="auto"/>
        <w:ind w:right="9"/>
        <w:jc w:val="center"/>
        <w:rPr>
          <w:rFonts w:ascii="Arial" w:hAnsi="Arial" w:cs="Arial"/>
          <w:b/>
          <w:sz w:val="28"/>
        </w:rPr>
      </w:pPr>
    </w:p>
    <w:p w14:paraId="616E2214" w14:textId="77777777" w:rsidR="000A50D3" w:rsidRPr="006F2D9E" w:rsidRDefault="000A50D3" w:rsidP="000A50D3">
      <w:pPr>
        <w:spacing w:after="211" w:line="256" w:lineRule="auto"/>
        <w:ind w:right="9"/>
        <w:jc w:val="center"/>
        <w:rPr>
          <w:rFonts w:ascii="Arial" w:hAnsi="Arial" w:cs="Arial"/>
          <w:b/>
          <w:sz w:val="28"/>
        </w:rPr>
      </w:pPr>
      <w:r w:rsidRPr="006F2D9E">
        <w:rPr>
          <w:rFonts w:ascii="Arial" w:hAnsi="Arial" w:cs="Arial"/>
          <w:b/>
          <w:sz w:val="28"/>
        </w:rPr>
        <w:t>Präambel</w:t>
      </w:r>
    </w:p>
    <w:p w14:paraId="616E2215" w14:textId="77777777" w:rsidR="000A50D3" w:rsidRPr="006F2D9E" w:rsidRDefault="000A50D3" w:rsidP="000A50D3">
      <w:pPr>
        <w:spacing w:after="252"/>
        <w:ind w:left="-5" w:right="0"/>
        <w:rPr>
          <w:rFonts w:ascii="Arial" w:eastAsiaTheme="minorHAnsi" w:hAnsi="Arial" w:cs="Arial"/>
          <w:color w:val="auto"/>
          <w:lang w:eastAsia="en-US"/>
        </w:rPr>
      </w:pPr>
      <w:r w:rsidRPr="006F2D9E">
        <w:rPr>
          <w:rFonts w:ascii="Arial" w:hAnsi="Arial" w:cs="Arial"/>
        </w:rPr>
        <w:t>Die</w:t>
      </w:r>
      <w:r w:rsidRPr="006F2D9E">
        <w:rPr>
          <w:rFonts w:ascii="Arial" w:eastAsiaTheme="minorHAnsi" w:hAnsi="Arial" w:cs="Arial"/>
          <w:color w:val="auto"/>
          <w:lang w:eastAsia="en-US"/>
        </w:rPr>
        <w:t xml:space="preserve"> Hilfe für Menschen in Not ist nicht nur Aufgabe des einzelnen Christen, sondern gehört neben der Feier der Liturgie und der Verkündigung zu den unverzichtbaren Merkmalen christlicher Gemeinden. Der Dienst an Hilfsbedürftigen, insbesondere an kranken und alten Mitmenschen, wird auf dem Fundament des christlichen Glaubens geleistet. Er umfasst soziale Hilfe und leibliche Pflege ebenso wie seelsorglichen Beistand und geistliche Begleitung in Krankheit, Alter und Sterben.</w:t>
      </w:r>
    </w:p>
    <w:p w14:paraId="616E2216"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1</w:t>
      </w:r>
      <w:r w:rsidRPr="006F2D9E">
        <w:rPr>
          <w:rFonts w:ascii="Arial" w:hAnsi="Arial" w:cs="Arial"/>
          <w:b/>
        </w:rPr>
        <w:tab/>
        <w:t>Firma, Sitz, Rechtsform</w:t>
      </w:r>
    </w:p>
    <w:p w14:paraId="616E2217"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Die Firma der Gesellschaft lautet:</w:t>
      </w:r>
    </w:p>
    <w:p w14:paraId="616E2218" w14:textId="77777777" w:rsidR="000A50D3" w:rsidRPr="006F2D9E" w:rsidRDefault="000A50D3" w:rsidP="000A50D3">
      <w:pPr>
        <w:suppressAutoHyphens/>
        <w:spacing w:after="160" w:line="256" w:lineRule="auto"/>
        <w:ind w:left="0" w:right="0" w:firstLine="0"/>
        <w:rPr>
          <w:rFonts w:ascii="Arial" w:eastAsiaTheme="minorHAnsi" w:hAnsi="Arial" w:cs="Arial"/>
          <w:b/>
          <w:color w:val="auto"/>
          <w:lang w:eastAsia="en-US"/>
        </w:rPr>
      </w:pPr>
      <w:r w:rsidRPr="006F2D9E">
        <w:rPr>
          <w:rFonts w:ascii="Arial" w:eastAsiaTheme="minorHAnsi" w:hAnsi="Arial" w:cs="Arial"/>
          <w:color w:val="auto"/>
          <w:lang w:eastAsia="en-US"/>
        </w:rPr>
        <w:tab/>
      </w:r>
      <w:r w:rsidRPr="006F2D9E">
        <w:rPr>
          <w:rFonts w:ascii="Arial" w:eastAsiaTheme="minorHAnsi" w:hAnsi="Arial" w:cs="Arial"/>
          <w:color w:val="auto"/>
          <w:lang w:eastAsia="en-US"/>
        </w:rPr>
        <w:tab/>
      </w:r>
      <w:r w:rsidRPr="006F2D9E">
        <w:rPr>
          <w:rFonts w:ascii="Arial" w:eastAsiaTheme="minorHAnsi" w:hAnsi="Arial" w:cs="Arial"/>
          <w:color w:val="auto"/>
          <w:lang w:eastAsia="en-US"/>
        </w:rPr>
        <w:tab/>
      </w:r>
      <w:r w:rsidRPr="006F2D9E">
        <w:rPr>
          <w:rFonts w:ascii="Arial" w:eastAsiaTheme="minorHAnsi" w:hAnsi="Arial" w:cs="Arial"/>
          <w:b/>
          <w:color w:val="auto"/>
          <w:lang w:eastAsia="en-US"/>
        </w:rPr>
        <w:t>Kirchliche</w:t>
      </w:r>
      <w:r w:rsidRPr="006F2D9E">
        <w:rPr>
          <w:rFonts w:ascii="Arial" w:eastAsiaTheme="minorHAnsi" w:hAnsi="Arial" w:cs="Arial"/>
          <w:color w:val="auto"/>
          <w:lang w:eastAsia="en-US"/>
        </w:rPr>
        <w:t xml:space="preserve"> </w:t>
      </w:r>
      <w:r w:rsidRPr="006F2D9E">
        <w:rPr>
          <w:rFonts w:ascii="Arial" w:eastAsiaTheme="minorHAnsi" w:hAnsi="Arial" w:cs="Arial"/>
          <w:b/>
          <w:color w:val="auto"/>
          <w:lang w:eastAsia="en-US"/>
        </w:rPr>
        <w:t>Sozialstation […] gemeinnützige GmbH</w:t>
      </w:r>
    </w:p>
    <w:p w14:paraId="616E2219"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Sitz der Gesellschaft ist […].</w:t>
      </w:r>
    </w:p>
    <w:p w14:paraId="616E221A"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Die Gesellschaft ist eine Gesellschaft mit beschränkter Haftung.</w:t>
      </w:r>
    </w:p>
    <w:p w14:paraId="616E221B"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2</w:t>
      </w:r>
      <w:r w:rsidRPr="006F2D9E">
        <w:rPr>
          <w:rFonts w:ascii="Arial" w:hAnsi="Arial" w:cs="Arial"/>
          <w:b/>
        </w:rPr>
        <w:tab/>
        <w:t>Gegenstand und Zweck der Gesellschaft</w:t>
      </w:r>
    </w:p>
    <w:p w14:paraId="616E221C"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r>
      <w:r w:rsidRPr="006F2D9E">
        <w:rPr>
          <w:rFonts w:ascii="Arial" w:hAnsi="Arial" w:cs="Arial"/>
        </w:rPr>
        <w:t>Gegenstand der Gesellschaft ist der Dienst an kranken und alten Menschen insbesondere durch ambulante Kranken und Altenpflege sowie Haus – und Familienpflege im Sinne der christlichen Nächstenliebe. Die Dienste werden grundsätzlich jedem gewährt, der sie in Anspruch nehmen will.</w:t>
      </w:r>
    </w:p>
    <w:p w14:paraId="616E221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Zweck der Gesellschaft ist die Förderung des Wohlfahrtswesens. Die Gesellschaft verwirklicht diesen Satzungszweck insbesondere durch Dienste an kranken und alten Menschen sowie durch die Übernahme und Organisation ambulanter Kranken- und Altenpflege. Zur Durchführung ihrer Aufgaben unterhält und betreibt die Gesellschaft Sozialstationen und Einrichtungen für ambulante Tagespflege.</w:t>
      </w:r>
    </w:p>
    <w:p w14:paraId="616E221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 (3)</w:t>
      </w:r>
      <w:r w:rsidRPr="006F2D9E">
        <w:rPr>
          <w:rFonts w:ascii="Arial" w:eastAsiaTheme="minorHAnsi" w:hAnsi="Arial" w:cs="Arial"/>
          <w:color w:val="auto"/>
          <w:lang w:eastAsia="en-US"/>
        </w:rPr>
        <w:tab/>
        <w:t xml:space="preserve">Die Gesellschaft darf andere Unternehmen gleicher oder ähnlicher Art übernehmen, sich an ihnen beteiligen und ihre Geschäfte führen. Sie ist zur Errichtung von Zweigniederlassungen befugt. Ebenso kann sich die Gesellschaft an anderen Unternehmen oder Organisationen beteiligen, die dem Gesellschaftszweck dienlich sind. </w:t>
      </w:r>
    </w:p>
    <w:p w14:paraId="616E221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 xml:space="preserve">Die Gesellschaft versteht ihre Tätigkeit als Wesens- und Lebensäußerung der römisch-katholischen Kirche, der sie in staatskirchenrechtlicher Hinsicht zugeordnet ist. </w:t>
      </w:r>
      <w:r w:rsidRPr="006F2D9E">
        <w:rPr>
          <w:rStyle w:val="Funotenzeichen"/>
          <w:rFonts w:ascii="Arial" w:eastAsiaTheme="minorHAnsi" w:hAnsi="Arial" w:cs="Arial"/>
          <w:color w:val="auto"/>
          <w:lang w:eastAsia="en-US"/>
        </w:rPr>
        <w:footnoteReference w:id="1"/>
      </w:r>
    </w:p>
    <w:p w14:paraId="616E2220" w14:textId="77777777" w:rsidR="000A50D3" w:rsidRPr="006F2D9E" w:rsidRDefault="000A50D3" w:rsidP="000A50D3">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i/>
        </w:rPr>
      </w:pPr>
      <w:r w:rsidRPr="006F2D9E">
        <w:rPr>
          <w:rFonts w:ascii="Arial" w:hAnsi="Arial" w:cs="Arial"/>
        </w:rPr>
        <w:t>Bei konfessionell gemischten Gesellschafterinnen kann alternativ formuliert werden:</w:t>
      </w:r>
      <w:r w:rsidRPr="006F2D9E">
        <w:rPr>
          <w:rFonts w:ascii="Arial" w:hAnsi="Arial" w:cs="Arial"/>
          <w:i/>
          <w:sz w:val="20"/>
        </w:rPr>
        <w:t xml:space="preserve"> „</w:t>
      </w:r>
      <w:r w:rsidRPr="006F2D9E">
        <w:rPr>
          <w:rFonts w:ascii="Arial" w:hAnsi="Arial" w:cs="Arial"/>
          <w:i/>
        </w:rPr>
        <w:t xml:space="preserve">Die Gesellschaft versteht ihre Tätigkeit als Wesens- und Lebensäußerung von christlichen Kirchen und ist in staatskirchenrechtlicher Hinsicht der römisch-katholischen Kirche zugeordnet.  </w:t>
      </w:r>
    </w:p>
    <w:p w14:paraId="616E2221" w14:textId="77777777" w:rsidR="000A50D3" w:rsidRPr="006F2D9E" w:rsidRDefault="000A50D3" w:rsidP="000A50D3">
      <w:pPr>
        <w:suppressAutoHyphens/>
        <w:spacing w:after="160" w:line="256" w:lineRule="auto"/>
        <w:ind w:left="0" w:right="0" w:hanging="567"/>
        <w:rPr>
          <w:rFonts w:ascii="Arial" w:hAnsi="Arial" w:cs="Arial"/>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 xml:space="preserve">Die Gesellschaft ist korporatives Mitglied im Caritasverband für die Erzdiözese Freiburg e. V. </w:t>
      </w:r>
      <w:r w:rsidRPr="006F2D9E">
        <w:rPr>
          <w:rFonts w:ascii="Arial" w:hAnsi="Arial" w:cs="Arial"/>
        </w:rPr>
        <w:t>und damit Mitglied im örtlichen Caritasverband und im Deutschen Caritasverband e. V.</w:t>
      </w:r>
    </w:p>
    <w:p w14:paraId="616E2222" w14:textId="77777777" w:rsidR="000A50D3" w:rsidRPr="006F2D9E" w:rsidRDefault="000A50D3" w:rsidP="000A50D3">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6F2D9E">
        <w:rPr>
          <w:rFonts w:ascii="Arial" w:hAnsi="Arial" w:cs="Arial"/>
        </w:rPr>
        <w:t>Alternative: Die Gesellschaft beantragt die Mitgliedschaft im Caritasverband für die Erzdiözese Freiburg e. V. und damit zugleich die Mitgliedschaft im örtlichen Caritasverband und im Deutschen Caritasverband e.V.  </w:t>
      </w:r>
    </w:p>
    <w:p w14:paraId="616E222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(6)</w:t>
      </w:r>
      <w:r w:rsidRPr="006F2D9E">
        <w:rPr>
          <w:rFonts w:ascii="Arial" w:eastAsiaTheme="minorHAnsi" w:hAnsi="Arial" w:cs="Arial"/>
          <w:color w:val="auto"/>
          <w:lang w:eastAsia="en-US"/>
        </w:rPr>
        <w:tab/>
        <w:t xml:space="preserve">Zur Erfüllung ihrer Aufgaben arbeitet die Gesellschaft mit anderen kirchlich-caritativen Trägern und Einrichtungen, Wohlfahrtsverbänden und sozialen Organisationen zusammen. Die Aufgaben der Gesellschaft können auch in gemeinsamer Trägerschaft und in Kooperation mit anderen Trägern, die ihrerseits gemeinnützige Zwecke verfolgen, erfüllt werden. </w:t>
      </w:r>
    </w:p>
    <w:p w14:paraId="616E222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Sofern die Gesellschaft Arbeitsverhältnisse begründet, wendet sie die „Grundordnung des kirchlichen Dienstes“ in ihrer jeweiligen, im Amtsblatt der Erzdiözese Freiburg veröffentlichten Fassung, an. Die Gesellschaft schließt mit ihren angestellten Mitarbeitenden Arbeitsverträge nach den „Richtlinien für Arbeitsverträge in den Einrichtungen des Deutschen Caritasverbandes (AVR)“ ab.</w:t>
      </w:r>
    </w:p>
    <w:p w14:paraId="616E222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(8)</w:t>
      </w:r>
      <w:r w:rsidRPr="006F2D9E">
        <w:rPr>
          <w:rFonts w:ascii="Arial" w:eastAsiaTheme="minorHAnsi" w:hAnsi="Arial" w:cs="Arial"/>
          <w:color w:val="auto"/>
          <w:lang w:eastAsia="en-US"/>
        </w:rPr>
        <w:tab/>
        <w:t>Die Gesellschaft und ihre Organe verpflichten sich zur Anwendung der im Rahmen der Prävention gegen sexualisierte Gewalt und zur Intervention bei sexuellem Missbrauch vom Ordinarius der Erzdiözese Freiburg in Kraft gesetzten diözesanen Gesetze, Ordnungen und Ausführungsbestimmungen in der jeweils im Amtsblatt der Erzdiözese Freiburg veröffentlichten Fassung. Über die Anerkennung weiterer Regelwerke entscheidet der Aufsichtsrat.</w:t>
      </w:r>
    </w:p>
    <w:p w14:paraId="616E2226"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3</w:t>
      </w:r>
      <w:r w:rsidRPr="006F2D9E">
        <w:rPr>
          <w:rFonts w:ascii="Arial" w:hAnsi="Arial" w:cs="Arial"/>
          <w:b/>
        </w:rPr>
        <w:tab/>
        <w:t>Gemeinnützigkeit, Selbstlosigkeit</w:t>
      </w:r>
    </w:p>
    <w:p w14:paraId="616E222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Gesellschaft verfolgt ausschließlich und unmittelbar gemeinnützige und mildtätige Zwecke im Sinne des Abschnitts „Steuerbegünstigte Zwecke“ der Abgabenordnung (§§ 51 ff) in der jeweils gültigen Fassung.</w:t>
      </w:r>
    </w:p>
    <w:p w14:paraId="616E222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Gesellschaft ist selbstlos tätig und verfolgt nicht in erster Linie eigenwirtschaftliche Zwecke.</w:t>
      </w:r>
    </w:p>
    <w:p w14:paraId="616E222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 xml:space="preserve">Mittel der Gesellschaft dürfen nur für die satzungsgemäßen Zwecke verwendet werden. </w:t>
      </w:r>
    </w:p>
    <w:p w14:paraId="616E222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 xml:space="preserve">Die Gesellschafter dürfen keine Gewinnanteile und auch keine sonstigen Zuwendungen aus Mitteln der Gesellschaft erhalten. Sie erhalten bei ihrem Ausscheiden oder bei Auflösung der Körperschaft oder bei Wegfall steuerbegünstigter Zwecke nicht mehr als ihre eingezahlten Kapitalanteile und den gemeinen Wert ihrer geleisteten Sacheinlagen zurück. Bei Auflösung der Körperschaft oder bei Wegfall steuerbegünstigter Zwecke fällt das Vermögen der Körperschaft, soweit es die eingezahlten Kapitalanteile der Gesellschafter und den gemeinen Wert der von den Gesellschaftern geleisteten Sacheinlagen übersteigt zu dem Anteil an die Gesellschafter/-Kirchengemeinden, mit dem sie an der Gesellschaft beteiligt sind. Diese haben es unmittelbar und ausschließlich für die in § 3 genannten steuerbegünstigten Zwecke zu verwenden. </w:t>
      </w:r>
    </w:p>
    <w:p w14:paraId="616E222B" w14:textId="699846F1" w:rsid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 xml:space="preserve">Es darf keine Person durch Ausgaben, die dem Zweck der Gesellschaft fremd sind, oder durch unverhältnismäßig hohe Vergütungen begünstigt werden. </w:t>
      </w:r>
    </w:p>
    <w:p w14:paraId="11E68B75" w14:textId="77777777" w:rsidR="006F2D9E" w:rsidRDefault="006F2D9E">
      <w:pPr>
        <w:spacing w:after="160" w:line="259" w:lineRule="auto"/>
        <w:ind w:left="0" w:right="0" w:firstLine="0"/>
        <w:jc w:val="left"/>
        <w:rPr>
          <w:rFonts w:ascii="Arial" w:eastAsiaTheme="minorHAnsi" w:hAnsi="Arial" w:cs="Arial"/>
          <w:color w:val="auto"/>
          <w:lang w:eastAsia="en-US"/>
        </w:rPr>
      </w:pPr>
      <w:r>
        <w:rPr>
          <w:rFonts w:ascii="Arial" w:eastAsiaTheme="minorHAnsi" w:hAnsi="Arial" w:cs="Arial"/>
          <w:color w:val="auto"/>
          <w:lang w:eastAsia="en-US"/>
        </w:rPr>
        <w:br w:type="page"/>
      </w:r>
    </w:p>
    <w:p w14:paraId="1A8E8BDC"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p>
    <w:p w14:paraId="616E222C"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xml:space="preserve">§ 4 </w:t>
      </w:r>
      <w:r w:rsidRPr="006F2D9E">
        <w:rPr>
          <w:rFonts w:ascii="Arial" w:hAnsi="Arial" w:cs="Arial"/>
          <w:b/>
        </w:rPr>
        <w:tab/>
        <w:t>Beginn und Dauer der Gesellschaft, Geschäftsjahr</w:t>
      </w:r>
    </w:p>
    <w:p w14:paraId="616E222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Die Gesellschaft beginnt mit ihrer Eintragung in das Handelsregister. </w:t>
      </w:r>
    </w:p>
    <w:p w14:paraId="616E222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Dauer der Gesellschaft ist nicht begrenzt. Der Gesellschaftsvertrag ist auf unbestimmte Zeit beschlossen.</w:t>
      </w:r>
    </w:p>
    <w:p w14:paraId="616E222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Das Geschäftsjahr ist das Kalenderjahr. Das erste Geschäftsjahr beginnt mit der Eintragung der Gesellschaft und endet am darauffolgenden 31. Dezember.</w:t>
      </w:r>
    </w:p>
    <w:p w14:paraId="616E2230"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5</w:t>
      </w:r>
      <w:r w:rsidRPr="006F2D9E">
        <w:rPr>
          <w:rFonts w:ascii="Arial" w:hAnsi="Arial" w:cs="Arial"/>
          <w:b/>
        </w:rPr>
        <w:tab/>
        <w:t xml:space="preserve">Stammkapital und Gesellschafter </w:t>
      </w:r>
    </w:p>
    <w:p w14:paraId="616E223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Das Stammkapital der Gesellschaft beträgt […] Euro (in Worten: […] Euro). Es ist eingeteilt in […] Geschäftsanteile mit einem Nennwert von je […] Euro.</w:t>
      </w:r>
      <w:r w:rsidRPr="006F2D9E">
        <w:rPr>
          <w:rStyle w:val="Funotenzeichen"/>
          <w:rFonts w:ascii="Arial" w:eastAsiaTheme="minorHAnsi" w:hAnsi="Arial" w:cs="Arial"/>
          <w:color w:val="auto"/>
          <w:lang w:eastAsia="en-US"/>
        </w:rPr>
        <w:footnoteReference w:id="2"/>
      </w:r>
    </w:p>
    <w:p w14:paraId="616E2232"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Gründungsgesellschafter sind</w:t>
      </w:r>
      <w:r w:rsidRPr="006F2D9E">
        <w:rPr>
          <w:rStyle w:val="Funotenzeichen"/>
          <w:rFonts w:ascii="Arial" w:eastAsiaTheme="minorHAnsi" w:hAnsi="Arial" w:cs="Arial"/>
          <w:color w:val="auto"/>
          <w:lang w:eastAsia="en-US"/>
        </w:rPr>
        <w:footnoteReference w:id="3"/>
      </w:r>
      <w:r w:rsidRPr="006F2D9E">
        <w:rPr>
          <w:rFonts w:ascii="Arial" w:eastAsiaTheme="minorHAnsi" w:hAnsi="Arial" w:cs="Arial"/>
          <w:color w:val="auto"/>
          <w:lang w:eastAsia="en-US"/>
        </w:rPr>
        <w:t>:</w:t>
      </w:r>
    </w:p>
    <w:p w14:paraId="616E2233"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1. Die Römisch-Katholische Kirchengemeinde […]</w:t>
      </w:r>
    </w:p>
    <w:p w14:paraId="616E2234"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Mit drei Geschäftsanteilen im Nennwert von insgesamt</w:t>
      </w:r>
      <w:r w:rsidRPr="006F2D9E">
        <w:rPr>
          <w:rFonts w:ascii="Arial" w:eastAsiaTheme="minorHAnsi" w:hAnsi="Arial" w:cs="Arial"/>
          <w:i/>
          <w:color w:val="auto"/>
          <w:lang w:eastAsia="en-US"/>
        </w:rPr>
        <w:tab/>
        <w:t>[…] Euro</w:t>
      </w:r>
    </w:p>
    <w:p w14:paraId="616E2235"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2. Die Römisch-Katholische Kirchengemeinde […]</w:t>
      </w:r>
    </w:p>
    <w:p w14:paraId="616E2236"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7"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3. Die Evangelische Kirchengemeinde […]</w:t>
      </w:r>
    </w:p>
    <w:p w14:paraId="616E2238"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9"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4. Der Caritasverband für den Landkreis […] e. V.</w:t>
      </w:r>
    </w:p>
    <w:p w14:paraId="616E223A"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B"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5. […]</w:t>
      </w:r>
    </w:p>
    <w:p w14:paraId="616E223C"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D"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p>
    <w:p w14:paraId="616E223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Die Stammeinlagen werden wie folgt erbracht:</w:t>
      </w:r>
      <w:r w:rsidRPr="006F2D9E">
        <w:rPr>
          <w:rStyle w:val="Funotenzeichen"/>
          <w:rFonts w:ascii="Arial" w:eastAsiaTheme="minorHAnsi" w:hAnsi="Arial" w:cs="Arial"/>
          <w:color w:val="auto"/>
          <w:lang w:eastAsia="en-US"/>
        </w:rPr>
        <w:footnoteReference w:id="4"/>
      </w:r>
    </w:p>
    <w:p w14:paraId="616E223F"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1. Römisch-Katholische Kirchengemeinde […]</w:t>
      </w:r>
    </w:p>
    <w:p w14:paraId="616E2240" w14:textId="77777777" w:rsidR="000A50D3" w:rsidRPr="006F2D9E" w:rsidRDefault="000A50D3" w:rsidP="000A50D3">
      <w:pPr>
        <w:pStyle w:val="Listenabsatz"/>
        <w:numPr>
          <w:ilvl w:val="1"/>
          <w:numId w:val="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wird dadurch erbracht, dass die Römisch-Katholische Kirchengemeinde […] ihren Anteil an der Sozialstation […] eingetragen im Vereinsregister des Amtsgerichts […] mit allen Aktiven und Passiven einbringt.</w:t>
      </w:r>
    </w:p>
    <w:p w14:paraId="616E2241" w14:textId="77777777" w:rsidR="000A50D3" w:rsidRPr="006F2D9E" w:rsidRDefault="000A50D3" w:rsidP="000A50D3">
      <w:pPr>
        <w:pStyle w:val="Listenabsatz"/>
        <w:numPr>
          <w:ilvl w:val="1"/>
          <w:numId w:val="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 Beteiligung über der Sacheinlage liegt, wird sie in eine Kapitalrücklage eingebracht.</w:t>
      </w:r>
    </w:p>
    <w:p w14:paraId="616E2242"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2. Römisch-Katholische Kirchengemeinde […]</w:t>
      </w:r>
    </w:p>
    <w:p w14:paraId="616E2243" w14:textId="77777777" w:rsidR="000A50D3" w:rsidRPr="006F2D9E" w:rsidRDefault="000A50D3" w:rsidP="000A50D3">
      <w:pPr>
        <w:pStyle w:val="Listenabsatz"/>
        <w:numPr>
          <w:ilvl w:val="0"/>
          <w:numId w:val="2"/>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wird dadurch erbracht, dass die Römisch-Katholische Kirchengemeinde […] ihren Anteil an der Sozialstation […] eingetragen im Vereinsregister des Amtsgerichts […] mit allen Aktiven und Passiven einbringt.</w:t>
      </w:r>
    </w:p>
    <w:p w14:paraId="616E2244" w14:textId="77777777" w:rsidR="000A50D3" w:rsidRPr="006F2D9E" w:rsidRDefault="000A50D3" w:rsidP="000A50D3">
      <w:pPr>
        <w:pStyle w:val="Listenabsatz"/>
        <w:numPr>
          <w:ilvl w:val="0"/>
          <w:numId w:val="2"/>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 Beteiligung über der Sacheinlage liegt, wird sie in eine Kapitalrücklage eingebracht.</w:t>
      </w:r>
    </w:p>
    <w:p w14:paraId="616E2245"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3. Evangelische Kirchengemeinde […]</w:t>
      </w:r>
    </w:p>
    <w:p w14:paraId="616E2246" w14:textId="77777777" w:rsidR="000A50D3" w:rsidRPr="006F2D9E" w:rsidRDefault="000A50D3" w:rsidP="000A50D3">
      <w:pPr>
        <w:pStyle w:val="Listenabsatz"/>
        <w:numPr>
          <w:ilvl w:val="0"/>
          <w:numId w:val="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wird dadurch erbracht, dass die Evangelische Kirchengemeinde […] ihren Anteil an der Sozialstation […] eingetragen im Vereinsregister des Amtsgerichts […] mit allen Aktiven und Passiven einbringt.</w:t>
      </w:r>
    </w:p>
    <w:p w14:paraId="616E2247" w14:textId="77777777" w:rsidR="000A50D3" w:rsidRPr="006F2D9E" w:rsidRDefault="000A50D3" w:rsidP="000A50D3">
      <w:pPr>
        <w:pStyle w:val="Listenabsatz"/>
        <w:numPr>
          <w:ilvl w:val="0"/>
          <w:numId w:val="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 Beteiligung über der Sacheinlage liegt, wird sie in eine Kapitalrücklage eingebracht.</w:t>
      </w:r>
    </w:p>
    <w:p w14:paraId="616E2248" w14:textId="77777777" w:rsidR="000A50D3" w:rsidRPr="006F2D9E" w:rsidRDefault="000A50D3" w:rsidP="000A50D3">
      <w:p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4. Der Caritasverband für den Landkreis […] e. V.</w:t>
      </w:r>
    </w:p>
    <w:p w14:paraId="616E2249" w14:textId="77777777" w:rsidR="000A50D3" w:rsidRPr="006F2D9E" w:rsidRDefault="000A50D3" w:rsidP="000A50D3">
      <w:pPr>
        <w:pStyle w:val="Listenabsatz"/>
        <w:numPr>
          <w:ilvl w:val="0"/>
          <w:numId w:val="4"/>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ist in Geld zu leisten. Sie ist mit der Gründung in voller Höhe sofort zur Zahlung fällig.</w:t>
      </w:r>
    </w:p>
    <w:p w14:paraId="616E224A" w14:textId="77777777" w:rsidR="000A50D3" w:rsidRPr="006F2D9E" w:rsidRDefault="000A50D3" w:rsidP="000A50D3">
      <w:pPr>
        <w:pStyle w:val="Listenabsatz"/>
        <w:numPr>
          <w:ilvl w:val="0"/>
          <w:numId w:val="4"/>
        </w:numPr>
        <w:suppressAutoHyphens/>
        <w:spacing w:after="160" w:line="256" w:lineRule="auto"/>
        <w:ind w:right="0"/>
        <w:rPr>
          <w:rFonts w:ascii="Arial" w:hAnsi="Arial" w:cs="Arial"/>
          <w:i/>
          <w:color w:val="auto"/>
        </w:rPr>
      </w:pPr>
      <w:r w:rsidRPr="006F2D9E">
        <w:rPr>
          <w:rFonts w:ascii="Arial" w:hAnsi="Arial" w:cs="Arial"/>
          <w:i/>
          <w:color w:val="auto"/>
        </w:rPr>
        <w:t>Soweit die Beteiligung über der Sacheinlage liegt, wird sie in eine Kapitalrücklage eingebracht.</w:t>
      </w:r>
    </w:p>
    <w:p w14:paraId="616E224B" w14:textId="77777777" w:rsidR="000A50D3" w:rsidRPr="006F2D9E" w:rsidRDefault="000A50D3" w:rsidP="000A50D3">
      <w:p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5. […]</w:t>
      </w:r>
    </w:p>
    <w:p w14:paraId="616E224C" w14:textId="77777777" w:rsidR="000A50D3" w:rsidRPr="006F2D9E" w:rsidRDefault="000A50D3" w:rsidP="000A50D3">
      <w:pPr>
        <w:pStyle w:val="Listenabsatz"/>
        <w:numPr>
          <w:ilvl w:val="0"/>
          <w:numId w:val="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ist in Geld zu leisten. Sie ist mit der Gründung in voller Höhe sofort zur Zahlung fällig.</w:t>
      </w:r>
    </w:p>
    <w:p w14:paraId="616E224D" w14:textId="77777777" w:rsidR="000A50D3" w:rsidRPr="006F2D9E" w:rsidRDefault="000A50D3" w:rsidP="000A50D3">
      <w:pPr>
        <w:pStyle w:val="Listenabsatz"/>
        <w:numPr>
          <w:ilvl w:val="0"/>
          <w:numId w:val="4"/>
        </w:numPr>
        <w:suppressAutoHyphens/>
        <w:spacing w:after="160" w:line="256" w:lineRule="auto"/>
        <w:ind w:right="0"/>
        <w:rPr>
          <w:rFonts w:ascii="Arial" w:hAnsi="Arial" w:cs="Arial"/>
          <w:i/>
          <w:color w:val="auto"/>
        </w:rPr>
      </w:pPr>
      <w:r w:rsidRPr="006F2D9E">
        <w:rPr>
          <w:rFonts w:ascii="Arial" w:hAnsi="Arial" w:cs="Arial"/>
          <w:i/>
          <w:color w:val="auto"/>
        </w:rPr>
        <w:t>Soweit die Beteiligung über der Sacheinlage liegt, wird sie in eine Kapitalrücklage eingebracht.</w:t>
      </w:r>
    </w:p>
    <w:p w14:paraId="616E224E" w14:textId="37C150F2"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Gesellschafter kann nur sein oder werden, wer selbst gemeinnützig ist</w:t>
      </w:r>
      <w:r w:rsidR="006E4090">
        <w:rPr>
          <w:rFonts w:ascii="Arial" w:eastAsiaTheme="minorHAnsi" w:hAnsi="Arial" w:cs="Arial"/>
          <w:color w:val="auto"/>
          <w:lang w:eastAsia="en-US"/>
        </w:rPr>
        <w:t>, einschließlich juristischer Personen des öffentlichen Rechts.</w:t>
      </w:r>
    </w:p>
    <w:p w14:paraId="616E224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Jede Übertragung, Verpfändung oder Teilung von Geschäftsanteilen ist nur mit Genehmigung der Gesellschafterversammlung zulässig.</w:t>
      </w:r>
    </w:p>
    <w:p w14:paraId="616E2250"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6</w:t>
      </w:r>
      <w:r w:rsidRPr="006F2D9E">
        <w:rPr>
          <w:rFonts w:ascii="Arial" w:hAnsi="Arial" w:cs="Arial"/>
          <w:b/>
          <w:color w:val="auto"/>
        </w:rPr>
        <w:tab/>
        <w:t>Verwässerungsschutz und Vorerwerbsrecht</w:t>
      </w:r>
    </w:p>
    <w:p w14:paraId="616E2251"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Mehrheitsbeteiligung von Gesellschaftern, die der römisch-katholischen Kirche zuzuordnen sind, darf nicht durch spätere Kapitalerhöhungen, die z. B. der Aufnahme weiterer Gesellschafter dienen, verwässert werden. Die Gesellschafter verpflichten sich daher durch geeignete Maßnahmen eine dauerhafte Mehrheitsbeteiligung von Gliederungen der römisch-katholischen Kirche sicherzustellen.</w:t>
      </w:r>
    </w:p>
    <w:p w14:paraId="616E2252"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Gesellschafter, die der römisch-katholischen Kirche zuzuordnen sind, sind berechtigt, entsprechend ihrer Beteiligung am Stammkapital der Gesellschaft an späteren Kapitalerhöhungen der Gesellschaft zu denselben Konditionen der jeweiligen Kapitalerhöhung teilzunehmen, die den neuen Gesellschaftern eingeräumt wird.</w:t>
      </w:r>
    </w:p>
    <w:p w14:paraId="616E2253"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Scheidet ein Gesellschafter aus, sind die anderen Gesellschafter, die der römisch-katholischen Kirche zuzuordnen sind, jeweils anteilig im Verhältnis ihrer Beteiligung am Stammkapital der Gesellschaft untereinander zum Erwerb der Geschäftsanteile (Vorerwerbsrecht) des ausscheidenden Gesellschafters nach Maßgabe der folgenden Bestimmungen berechtigt:</w:t>
      </w:r>
    </w:p>
    <w:p w14:paraId="616E2254" w14:textId="77777777" w:rsidR="000A50D3" w:rsidRPr="006F2D9E" w:rsidRDefault="000A50D3" w:rsidP="000A50D3">
      <w:pPr>
        <w:pStyle w:val="Listenabsatz"/>
        <w:numPr>
          <w:ilvl w:val="1"/>
          <w:numId w:val="7"/>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Jeder Vorerwerbsberechtigte kann sein anteiliges Vorerwerbsrecht nur ganz und innerhalb von drei Monaten ab Zugang der Veräußerungsanzeige sowie nur durch Erklärung in Textform gegenüber der Geschäftsführung der Gesellschaft ausüben.</w:t>
      </w:r>
    </w:p>
    <w:p w14:paraId="616E2255" w14:textId="77777777" w:rsidR="000A50D3" w:rsidRPr="006F2D9E" w:rsidRDefault="000A50D3" w:rsidP="000A50D3">
      <w:pPr>
        <w:pStyle w:val="Listenabsatz"/>
        <w:numPr>
          <w:ilvl w:val="1"/>
          <w:numId w:val="7"/>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Übt ein Vorerwerbsberechtigter sein Recht auf anteiligen Erwerb der Geschäftsanteile nicht aus, haben die übrigen Vorerwerbsberechtigen, jeweils anteilig im Verhältnis ihrer Beteiligung am Stammkapital der Gesellschaft (ohne Berücksichtigung der Geschäftsanteile der ihrer Vorerwerbsrechte nicht ausübenden Gesellschafter), das weitere Recht, den auf diesen Vorkaufsberechtigten entfallenden Teil der Gesellschaftsanteile zu erwerben (erweitertes Vorerwerbsrecht). Das erweiterte Vorerwerbsrecht kann nur vollständig und ganz und innerhalb von zwei Monaten ab Zugang des Verzichts auf das Vorerwerbsrecht sowie nur durch Erklärung in Textform gegenüber der Geschäftsführung der Gesellschaft ausgeübt werden.</w:t>
      </w:r>
    </w:p>
    <w:p w14:paraId="616E2256" w14:textId="77777777" w:rsidR="000A50D3" w:rsidRPr="006F2D9E" w:rsidRDefault="000A50D3" w:rsidP="000A50D3">
      <w:pPr>
        <w:pStyle w:val="Listenabsatz"/>
        <w:numPr>
          <w:ilvl w:val="1"/>
          <w:numId w:val="7"/>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Im Falle der form- und fristgerechten Ausübung der Vorerwerbsrechte gem. § 6 Abs. 3 Ziff. 1 und 2 sind der ausscheidende Gesellschafter und die ankaufswilligen Vorerwerbsberechtigten verpflichtet, unverzüglich miteinander einen notariellen Geschäftsanteilskauf- und -übertragungsvertrag abzuschließen.</w:t>
      </w:r>
    </w:p>
    <w:p w14:paraId="616E2257" w14:textId="77777777" w:rsidR="000A50D3" w:rsidRPr="006F2D9E" w:rsidRDefault="000A50D3" w:rsidP="000A50D3">
      <w:pPr>
        <w:pStyle w:val="Listenabsatz"/>
        <w:suppressAutoHyphens/>
        <w:spacing w:after="160" w:line="256" w:lineRule="auto"/>
        <w:ind w:left="873" w:right="0" w:firstLine="0"/>
        <w:rPr>
          <w:rFonts w:ascii="Arial" w:eastAsiaTheme="minorHAnsi" w:hAnsi="Arial" w:cs="Arial"/>
          <w:color w:val="auto"/>
          <w:lang w:eastAsia="en-US"/>
        </w:rPr>
      </w:pPr>
    </w:p>
    <w:p w14:paraId="616E2258"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Das Vorerwerbsrecht gilt entsprechend für den Tausch oder die Schenkung von Geschäftsanteilen. Beim Tausch tritt der Verkehrswert des Tauschgegenstandes und bei der Schenkung der Verkehrswert der Gesellschaftsanteile an die Stelle des Kaufpreises.</w:t>
      </w:r>
    </w:p>
    <w:p w14:paraId="616E2259"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Bei Streitigkeiten zwischen den Gesellschaftern, die im Hinblick auf die Zuordnung von Gesellschaftern zur römisch-katholischen Kirche entstehen, wird diese Streitigkeit durch das Erzbischöfliche Ordinariat in Freiburg entschieden.</w:t>
      </w:r>
    </w:p>
    <w:p w14:paraId="616E225A"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7</w:t>
      </w:r>
      <w:r w:rsidRPr="006F2D9E">
        <w:rPr>
          <w:rFonts w:ascii="Arial" w:hAnsi="Arial" w:cs="Arial"/>
          <w:b/>
          <w:color w:val="auto"/>
        </w:rPr>
        <w:tab/>
        <w:t>Organe der Gesellschaft</w:t>
      </w:r>
    </w:p>
    <w:p w14:paraId="616E225B" w14:textId="77777777" w:rsidR="000A50D3" w:rsidRPr="006F2D9E" w:rsidRDefault="000A50D3" w:rsidP="000A50D3">
      <w:pPr>
        <w:pStyle w:val="Listenabsatz"/>
        <w:numPr>
          <w:ilvl w:val="0"/>
          <w:numId w:val="8"/>
        </w:numPr>
        <w:suppressAutoHyphens/>
        <w:spacing w:after="160" w:line="256" w:lineRule="auto"/>
        <w:ind w:left="-142" w:right="0"/>
        <w:rPr>
          <w:rFonts w:ascii="Arial" w:eastAsiaTheme="minorHAnsi" w:hAnsi="Arial" w:cs="Arial"/>
          <w:color w:val="auto"/>
          <w:lang w:eastAsia="en-US"/>
        </w:rPr>
      </w:pPr>
      <w:r w:rsidRPr="006F2D9E">
        <w:rPr>
          <w:rFonts w:ascii="Arial" w:eastAsiaTheme="minorHAnsi" w:hAnsi="Arial" w:cs="Arial"/>
          <w:color w:val="auto"/>
          <w:lang w:eastAsia="en-US"/>
        </w:rPr>
        <w:tab/>
      </w:r>
      <w:r w:rsidRPr="006F2D9E">
        <w:rPr>
          <w:rFonts w:ascii="Arial" w:hAnsi="Arial" w:cs="Arial"/>
          <w:color w:val="auto"/>
        </w:rPr>
        <w:t>Organe der Gesellschaft sind:</w:t>
      </w:r>
    </w:p>
    <w:p w14:paraId="616E225C" w14:textId="77777777" w:rsidR="000A50D3" w:rsidRPr="006F2D9E" w:rsidRDefault="000A50D3" w:rsidP="000A50D3">
      <w:pPr>
        <w:numPr>
          <w:ilvl w:val="0"/>
          <w:numId w:val="9"/>
        </w:numPr>
        <w:ind w:right="0" w:hanging="358"/>
        <w:rPr>
          <w:rFonts w:ascii="Arial" w:hAnsi="Arial" w:cs="Arial"/>
          <w:color w:val="auto"/>
        </w:rPr>
      </w:pPr>
      <w:r w:rsidRPr="006F2D9E">
        <w:rPr>
          <w:rFonts w:ascii="Arial" w:hAnsi="Arial" w:cs="Arial"/>
          <w:color w:val="auto"/>
        </w:rPr>
        <w:t>die Gesellschafterversammlung</w:t>
      </w:r>
    </w:p>
    <w:p w14:paraId="616E225D" w14:textId="77777777" w:rsidR="000A50D3" w:rsidRPr="006F2D9E" w:rsidRDefault="000A50D3" w:rsidP="000A50D3">
      <w:pPr>
        <w:numPr>
          <w:ilvl w:val="0"/>
          <w:numId w:val="9"/>
        </w:numPr>
        <w:ind w:right="0" w:hanging="358"/>
        <w:rPr>
          <w:rFonts w:ascii="Arial" w:hAnsi="Arial" w:cs="Arial"/>
          <w:color w:val="auto"/>
        </w:rPr>
      </w:pPr>
      <w:r w:rsidRPr="006F2D9E">
        <w:rPr>
          <w:rFonts w:ascii="Arial" w:hAnsi="Arial" w:cs="Arial"/>
          <w:color w:val="auto"/>
        </w:rPr>
        <w:t>der Aufsichtsrat</w:t>
      </w:r>
    </w:p>
    <w:p w14:paraId="616E225E" w14:textId="77777777" w:rsidR="000A50D3" w:rsidRPr="006F2D9E" w:rsidRDefault="000A50D3" w:rsidP="000A50D3">
      <w:pPr>
        <w:numPr>
          <w:ilvl w:val="0"/>
          <w:numId w:val="9"/>
        </w:numPr>
        <w:ind w:right="0" w:hanging="358"/>
        <w:rPr>
          <w:rFonts w:ascii="Arial" w:hAnsi="Arial" w:cs="Arial"/>
          <w:color w:val="auto"/>
        </w:rPr>
      </w:pPr>
      <w:r w:rsidRPr="006F2D9E">
        <w:rPr>
          <w:rFonts w:ascii="Arial" w:hAnsi="Arial" w:cs="Arial"/>
          <w:color w:val="auto"/>
        </w:rPr>
        <w:t>die Geschäftsführung</w:t>
      </w:r>
    </w:p>
    <w:p w14:paraId="616E225F" w14:textId="77777777" w:rsidR="000A50D3" w:rsidRPr="006F2D9E" w:rsidRDefault="000A50D3" w:rsidP="000A50D3">
      <w:pPr>
        <w:pStyle w:val="Listenabsatz"/>
        <w:numPr>
          <w:ilvl w:val="0"/>
          <w:numId w:val="8"/>
        </w:numPr>
        <w:suppressAutoHyphens/>
        <w:spacing w:after="160" w:line="256" w:lineRule="auto"/>
        <w:ind w:left="0" w:right="0" w:hanging="567"/>
        <w:rPr>
          <w:rFonts w:ascii="Arial" w:hAnsi="Arial" w:cs="Arial"/>
          <w:color w:val="auto"/>
        </w:rPr>
      </w:pPr>
      <w:r w:rsidRPr="006F2D9E">
        <w:rPr>
          <w:rFonts w:ascii="Arial" w:hAnsi="Arial" w:cs="Arial"/>
          <w:color w:val="auto"/>
        </w:rPr>
        <w:t>Bei der Erfüllung ihrer Aufgaben sind alle Gesellschaftsorange an staatliche und kirchliche Gesetze und diese Satzung gebunden. Es besteht eine Rezeptionspflicht (</w:t>
      </w:r>
      <w:proofErr w:type="spellStart"/>
      <w:r w:rsidRPr="006F2D9E">
        <w:rPr>
          <w:rFonts w:ascii="Arial" w:hAnsi="Arial" w:cs="Arial"/>
          <w:color w:val="auto"/>
        </w:rPr>
        <w:t>Kenntnisnahmepflicht</w:t>
      </w:r>
      <w:proofErr w:type="spellEnd"/>
      <w:r w:rsidRPr="006F2D9E">
        <w:rPr>
          <w:rFonts w:ascii="Arial" w:hAnsi="Arial" w:cs="Arial"/>
          <w:color w:val="auto"/>
        </w:rPr>
        <w:t>) des Amtsblattes der Erzdiözese Freiburg.</w:t>
      </w:r>
    </w:p>
    <w:p w14:paraId="616E2260" w14:textId="77777777" w:rsidR="000A50D3" w:rsidRPr="006F2D9E" w:rsidRDefault="000A50D3" w:rsidP="000A50D3">
      <w:pPr>
        <w:pStyle w:val="Listenabsatz"/>
        <w:numPr>
          <w:ilvl w:val="0"/>
          <w:numId w:val="8"/>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Organe geben sich eine gemeinsame Geschäftsordnung, die bis zu ihrer Aufhebung oder Änderung gültig bleibt.</w:t>
      </w:r>
    </w:p>
    <w:p w14:paraId="616E2261" w14:textId="77777777" w:rsidR="000A50D3" w:rsidRPr="006F2D9E" w:rsidRDefault="000A50D3" w:rsidP="000A50D3">
      <w:pPr>
        <w:pStyle w:val="Listenabsatz"/>
        <w:numPr>
          <w:ilvl w:val="0"/>
          <w:numId w:val="8"/>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Mitglieder der Organe haben über alle Angelegenheiten der Gesellschaft, die ihnen im Zusammenhang mit ihrer Tätigkeit für die Gesellschaft bekannt werden oder geworden sind, Stillschweigen zu bewahren. Dies gilt nicht, soweit sie diese im Rahmen pflichtgemäßer Ausübung ihrer Tätigkeit offenbaren müssen und nicht für allgemein bekannte Tatsachen. Die Schweigepflicht dauert auch nach Beendigung ihrer Tätigkeit für die Gesellschaft fort.</w:t>
      </w:r>
    </w:p>
    <w:p w14:paraId="616E2262"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8</w:t>
      </w:r>
      <w:r w:rsidRPr="006F2D9E">
        <w:rPr>
          <w:rFonts w:ascii="Arial" w:hAnsi="Arial" w:cs="Arial"/>
          <w:b/>
          <w:color w:val="auto"/>
        </w:rPr>
        <w:tab/>
        <w:t>Gesellschafterversammlung</w:t>
      </w:r>
    </w:p>
    <w:p w14:paraId="616E226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Eine ordentliche Gesellschafterversammlung findet mindestens einmal jährlich statt.</w:t>
      </w:r>
    </w:p>
    <w:p w14:paraId="616E226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Außerordentliche Gesellschafterversammlungen sind einzuberufen, wenn es das Interesse der Gesellschaft erfordert oder auf Antrag eines Gesellschafters, des Aufsichtsrates oder eines Geschäftsführers. Die Gesellschafterversammlung findet in der Regel am Sitz der Gesellschaft statt.</w:t>
      </w:r>
    </w:p>
    <w:p w14:paraId="616E226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Die Einberufung der Gesellschafterversammlung erfolgt schriftlich durch ein Mitglied der Geschäftsführung mit einer Frist von zwei Wochen unter Angabe der Tagesordnung. Jeder Geschäftsführer ist allein einberufungsberechtigt.</w:t>
      </w:r>
    </w:p>
    <w:p w14:paraId="616E2266"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Die Vertretung der Gesellschafter in der Gesellschafterversammlung erfolgt durch seinen gesetzlichen Vertreter. Eine Vertretung durch einen Bevollmächtigten ist zulässig, die schriftliche Vollmacht ist spätestens vor Beginn der Gesellschafterversammlung nachzuweisen. Jeder Geschäftsanteil vermittelt je eine Stimme. Gesellschafter können ihre Stimmen nur einheitlich abgeben.</w:t>
      </w:r>
    </w:p>
    <w:p w14:paraId="616E226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Die Gesellschafterversammlung ist beschlussfähig, wenn mindestens 75 % des Gesellschaftskapitals wirksam vertreten ist. Ist dies nicht der Fall, so ist innerhalb von zwei Wochen eine neue Versammlung mit gleicher Tagesordnung einzuberufen, die immer beschlussfähig ist. Darauf ist in der Einladung hinzuweisen.</w:t>
      </w:r>
    </w:p>
    <w:p w14:paraId="616E226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(6)</w:t>
      </w:r>
      <w:r w:rsidRPr="006F2D9E">
        <w:rPr>
          <w:rFonts w:ascii="Arial" w:eastAsiaTheme="minorHAnsi" w:hAnsi="Arial" w:cs="Arial"/>
          <w:color w:val="auto"/>
          <w:lang w:eastAsia="en-US"/>
        </w:rPr>
        <w:tab/>
        <w:t>Beschlüsse der Gesellschafter werden in einer Gesellschafterversammlung gefasst. Sind sämtliche Gesellschafter anwesend oder vertreten und/oder mit der Beschlussfassung einverstanden, können Beschlüsse auch unter Verzicht auf Form- und Fristvorschriften gefasst werden, soweit dies gesetzlich zulässig ist. Außerhalb von Sitzungen sind, soweit nicht zwingendes Recht eine andere Form vorschreibt, Beschlussfassungen auch schriftlich, fernschriftlich, per Telefax oder E-Mail, mündlich oder fernmündlich zulässig, wenn sich alle Mitglieder der Gesellschafterversammlung mit diesem Verfahren einverstanden erklären.</w:t>
      </w:r>
    </w:p>
    <w:p w14:paraId="616E226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Die Beschlüsse werden mit der Mehrheit der anwesenden Stimmen gefasst, soweit nicht das Gesetz oder dieser Gesellschaftsvertrag eine größere Mehrheit vorschreiben. Stimmenthaltungen werden nicht gewertet. Bei Stimmengleichheit gilt ein Antrag als abgelehnt.</w:t>
      </w:r>
    </w:p>
    <w:p w14:paraId="616E226A"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Beschlüsse der Gesellschafterversammlung über die nachfolgenden Beschlussgegenstände bedürfen für ihre Wirksamkeit der Zustimmung von 2/3 Dritteln der abgegebenen Stimmen.</w:t>
      </w:r>
    </w:p>
    <w:p w14:paraId="616E226B" w14:textId="77777777" w:rsidR="000A50D3" w:rsidRPr="006F2D9E" w:rsidRDefault="000A50D3" w:rsidP="000A50D3">
      <w:pPr>
        <w:pStyle w:val="Listenabsatz"/>
        <w:numPr>
          <w:ilvl w:val="1"/>
          <w:numId w:val="10"/>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jede Änderung des Gesellschaftsvertrages, insbesondere eine Änderung des Gegenstandes des Unternehmens;</w:t>
      </w:r>
    </w:p>
    <w:p w14:paraId="616E226C" w14:textId="77777777" w:rsidR="000A50D3" w:rsidRPr="006F2D9E" w:rsidRDefault="000A50D3" w:rsidP="000A50D3">
      <w:pPr>
        <w:pStyle w:val="Listenabsatz"/>
        <w:numPr>
          <w:ilvl w:val="1"/>
          <w:numId w:val="10"/>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Auflösung der Gesellschaft; </w:t>
      </w:r>
    </w:p>
    <w:p w14:paraId="616E226D" w14:textId="77777777" w:rsidR="000A50D3" w:rsidRPr="006F2D9E" w:rsidRDefault="000A50D3" w:rsidP="000A50D3">
      <w:pPr>
        <w:pStyle w:val="Listenabsatz"/>
        <w:numPr>
          <w:ilvl w:val="1"/>
          <w:numId w:val="10"/>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Erhöhung und Herabsetzung des Stammkapitals der Gesellschaft;</w:t>
      </w:r>
    </w:p>
    <w:p w14:paraId="616E226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(8)</w:t>
      </w:r>
      <w:r w:rsidRPr="006F2D9E">
        <w:rPr>
          <w:rFonts w:ascii="Arial" w:eastAsiaTheme="minorHAnsi" w:hAnsi="Arial" w:cs="Arial"/>
          <w:color w:val="auto"/>
          <w:lang w:eastAsia="en-US"/>
        </w:rPr>
        <w:tab/>
        <w:t xml:space="preserve">Die Gesellschafterversammlung wird vom Vorsitzenden geleitet. Er hat für eine ordnungsgemäße Protokollierung der Beschlüsse zu sorgen. Der Vorsitzende wird mit einfacher Mehrheit der anwesenden Stimmen gewählt. </w:t>
      </w:r>
    </w:p>
    <w:p w14:paraId="616E226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(9)</w:t>
      </w:r>
      <w:r w:rsidRPr="006F2D9E">
        <w:rPr>
          <w:rFonts w:ascii="Arial" w:eastAsiaTheme="minorHAnsi" w:hAnsi="Arial" w:cs="Arial"/>
          <w:color w:val="auto"/>
          <w:lang w:eastAsia="en-US"/>
        </w:rPr>
        <w:tab/>
        <w:t>Versammlungen können auch per Videokonferenz oder auf anderem elektronischen Weg abgehalten werden, sofern alle Gesellschafter zustimmen.</w:t>
      </w:r>
    </w:p>
    <w:p w14:paraId="616E2270"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(10)</w:t>
      </w:r>
      <w:r w:rsidRPr="006F2D9E">
        <w:rPr>
          <w:rFonts w:ascii="Arial" w:eastAsiaTheme="minorHAnsi" w:hAnsi="Arial" w:cs="Arial"/>
          <w:color w:val="auto"/>
          <w:lang w:eastAsia="en-US"/>
        </w:rPr>
        <w:tab/>
        <w:t>Die Geschäftsführung nimmt an den Gesellschafterversammlungen teil.</w:t>
      </w:r>
    </w:p>
    <w:p w14:paraId="616E2271" w14:textId="77777777" w:rsidR="000A50D3" w:rsidRPr="006F2D9E" w:rsidRDefault="000A50D3" w:rsidP="006F2D9E">
      <w:pPr>
        <w:suppressAutoHyphens/>
        <w:spacing w:after="160" w:line="257"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(11)</w:t>
      </w:r>
      <w:r w:rsidRPr="006F2D9E">
        <w:rPr>
          <w:rFonts w:ascii="Arial" w:eastAsiaTheme="minorHAnsi" w:hAnsi="Arial" w:cs="Arial"/>
          <w:color w:val="auto"/>
          <w:lang w:eastAsia="en-US"/>
        </w:rPr>
        <w:tab/>
        <w:t xml:space="preserve">Über jede Sitzung ist eine Niederschrift anzufertigen, die vom amtierenden Vorsitzenden und vom Protokollführer zu unterzeichnen und an die Gesellschafter zu versenden ist. Dies gilt insbesondere auch für Beschlüsse, die gemäß Abs. 6 unter Verzicht auf Formvorschriften gefasst werden. </w:t>
      </w:r>
    </w:p>
    <w:p w14:paraId="616E2272"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9</w:t>
      </w:r>
      <w:r w:rsidRPr="006F2D9E">
        <w:rPr>
          <w:rFonts w:ascii="Arial" w:hAnsi="Arial" w:cs="Arial"/>
          <w:b/>
        </w:rPr>
        <w:tab/>
        <w:t>Aufgaben der Gesellschafterversammlung</w:t>
      </w:r>
    </w:p>
    <w:p w14:paraId="616E227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Gesellschafterversammlung ist zuständig für alle ihr durch Gesetz und Gesellschaftsvertrag zugewiesenen Aufgaben.</w:t>
      </w:r>
    </w:p>
    <w:p w14:paraId="616E227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Der Gesellschafterversammlung obliegt insbesondere die Beschlussfassung über:</w:t>
      </w:r>
    </w:p>
    <w:p w14:paraId="616E2275"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Änderungen des Gesellschaftsvertrags sowie des Gesellschaftszwecks;</w:t>
      </w:r>
    </w:p>
    <w:p w14:paraId="616E2276"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Beitritt weiterer Gesellschafter, Erhöhung oder Herabsetzung des Stammkapitals;</w:t>
      </w:r>
    </w:p>
    <w:p w14:paraId="616E2277"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Ausübung des Vetorechts gegen Entscheidungen des Aufsichtsrates bezüglich der Bestellung und Abberufung der Geschäftsführung sowie Abschluss, Änderung, Aufhebung oder Kündigung des Anstellungsverhältnisses der Geschäftsführung;</w:t>
      </w:r>
    </w:p>
    <w:p w14:paraId="616E2278"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Entgegennahme des Tätigkeits- und Finanzberichts der Geschäftsführung und der Stellungnahme des Aufsichtsrates;</w:t>
      </w:r>
    </w:p>
    <w:p w14:paraId="616E2279"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Entgegennahme des Prüfungsberichts des Abschlussprüfers und der Stellungnahme des Aufsichtsrates;</w:t>
      </w:r>
    </w:p>
    <w:p w14:paraId="616E227A"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Bestellung und Abberufung der ordentlichen Mitglieder des Aufsichtsrats gem. § 10 Abs. 3 Satz 2;</w:t>
      </w:r>
    </w:p>
    <w:p w14:paraId="616E227B"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Feststellung des Jahresabschlusses und Verwendung des Ergebnisses;</w:t>
      </w:r>
    </w:p>
    <w:p w14:paraId="616E227C"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Entlastung der Geschäftsführung und des Aufsichtsrates;</w:t>
      </w:r>
    </w:p>
    <w:p w14:paraId="616E227D"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Veräußerung, Teilung und Einziehung von Geschäftsanteilen;</w:t>
      </w:r>
    </w:p>
    <w:p w14:paraId="616E227E"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Erwerb, Veräußerung und Belastung sowie Aufgabe von Grundstücken, grundstücksgleichen Rechten oder Rechten an Grundstücken;</w:t>
      </w:r>
    </w:p>
    <w:p w14:paraId="616E227F"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Grundsätzliche Fragen der Zielrichtung und Strukturen der Einrichtungen, sowie die Entscheidung über Fragen von grundsätzlicher Bedeutung für die Gesellschaft;</w:t>
      </w:r>
    </w:p>
    <w:p w14:paraId="616E2281" w14:textId="0652AB5C" w:rsidR="000A50D3" w:rsidRPr="006F2D9E" w:rsidRDefault="000A50D3" w:rsidP="006F2D9E">
      <w:pPr>
        <w:numPr>
          <w:ilvl w:val="0"/>
          <w:numId w:val="11"/>
        </w:numPr>
        <w:spacing w:after="160" w:line="269" w:lineRule="auto"/>
        <w:ind w:left="340" w:right="0" w:hanging="357"/>
        <w:rPr>
          <w:rFonts w:ascii="Arial" w:hAnsi="Arial" w:cs="Arial"/>
        </w:rPr>
      </w:pPr>
      <w:r w:rsidRPr="006F2D9E">
        <w:rPr>
          <w:rFonts w:ascii="Arial" w:hAnsi="Arial" w:cs="Arial"/>
        </w:rPr>
        <w:t>Auflösung der Gesellschaft und Verwendung des Gesellschaftsvermögens.</w:t>
      </w:r>
    </w:p>
    <w:p w14:paraId="616E2282"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color w:val="auto"/>
        </w:rPr>
        <w:t>§ 10</w:t>
      </w:r>
      <w:r w:rsidRPr="006F2D9E">
        <w:rPr>
          <w:rFonts w:ascii="Arial" w:hAnsi="Arial" w:cs="Arial"/>
          <w:b/>
          <w:color w:val="auto"/>
        </w:rPr>
        <w:tab/>
        <w:t>Aufsichtsrat</w:t>
      </w:r>
    </w:p>
    <w:p w14:paraId="616E228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Gesellschaft hat einen Aufsichtsrat. Für diesen gelten die Bestimmungen des Gesellschaftsvertrages. Die gemäß § 52 GmbHG den Aufsichtsrat betreffenden Vorschriften des Aktiengesetzes finden keine Anwendung.</w:t>
      </w:r>
    </w:p>
    <w:p w14:paraId="616E228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Der Aufsichtsrat besteht aus mindestens fünf stimmberechtigten Mitgliedern, die nicht Arbeitnehmer der Gesellschaft sind und setzt sich wie folgt zusammen:</w:t>
      </w:r>
    </w:p>
    <w:p w14:paraId="616E2285" w14:textId="77777777" w:rsidR="000A50D3" w:rsidRPr="006F2D9E" w:rsidRDefault="000A50D3" w:rsidP="000A50D3">
      <w:pPr>
        <w:numPr>
          <w:ilvl w:val="0"/>
          <w:numId w:val="12"/>
        </w:numPr>
        <w:ind w:right="0" w:hanging="10"/>
        <w:rPr>
          <w:rFonts w:ascii="Arial" w:hAnsi="Arial" w:cs="Arial"/>
          <w:color w:val="auto"/>
        </w:rPr>
      </w:pPr>
      <w:r w:rsidRPr="006F2D9E">
        <w:rPr>
          <w:rFonts w:ascii="Arial" w:hAnsi="Arial" w:cs="Arial"/>
          <w:color w:val="auto"/>
        </w:rPr>
        <w:t>dem Vorsitzenden des Aufsichtsrates;</w:t>
      </w:r>
    </w:p>
    <w:p w14:paraId="616E2286" w14:textId="77777777" w:rsidR="000A50D3" w:rsidRPr="006F2D9E" w:rsidRDefault="000A50D3" w:rsidP="000A50D3">
      <w:pPr>
        <w:numPr>
          <w:ilvl w:val="0"/>
          <w:numId w:val="12"/>
        </w:numPr>
        <w:ind w:right="0" w:hanging="10"/>
        <w:rPr>
          <w:rFonts w:ascii="Arial" w:hAnsi="Arial" w:cs="Arial"/>
          <w:color w:val="auto"/>
        </w:rPr>
      </w:pPr>
      <w:r w:rsidRPr="006F2D9E">
        <w:rPr>
          <w:rFonts w:ascii="Arial" w:hAnsi="Arial" w:cs="Arial"/>
          <w:color w:val="auto"/>
        </w:rPr>
        <w:t>dem stellvertretenden Vorsitzenden des Aufsichtsrates;</w:t>
      </w:r>
    </w:p>
    <w:p w14:paraId="616E2287" w14:textId="77777777" w:rsidR="000A50D3" w:rsidRPr="006F2D9E" w:rsidRDefault="000A50D3" w:rsidP="000A50D3">
      <w:pPr>
        <w:numPr>
          <w:ilvl w:val="0"/>
          <w:numId w:val="12"/>
        </w:numPr>
        <w:ind w:right="0" w:hanging="10"/>
        <w:rPr>
          <w:rFonts w:ascii="Arial" w:hAnsi="Arial" w:cs="Arial"/>
          <w:color w:val="auto"/>
        </w:rPr>
      </w:pPr>
      <w:r w:rsidRPr="006F2D9E">
        <w:rPr>
          <w:rFonts w:ascii="Arial" w:hAnsi="Arial" w:cs="Arial"/>
          <w:color w:val="auto"/>
        </w:rPr>
        <w:t>mindestens drei weiteren Mitgliedern.</w:t>
      </w:r>
    </w:p>
    <w:p w14:paraId="616E228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 xml:space="preserve">Ein stimmberechtigtes Aufsichtsratsmitglied wird durch die römisch-katholischen Kirchengemeinden, die Gesellschafter sind, gemeinsam berufen. Alle übrigen stimmberechtigten Aufsichtsratsmitglieder werden von den Gesellschaftern gemeinsam bestellt. </w:t>
      </w:r>
    </w:p>
    <w:p w14:paraId="616E2289"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Der </w:t>
      </w:r>
      <w:r w:rsidRPr="006F2D9E">
        <w:rPr>
          <w:rFonts w:ascii="Arial" w:eastAsiaTheme="minorHAnsi" w:hAnsi="Arial" w:cs="Arial"/>
          <w:i/>
          <w:color w:val="auto"/>
          <w:lang w:eastAsia="en-US"/>
        </w:rPr>
        <w:t>Caritasverband [für den Landkreis …] (Ortscaritasverband)</w:t>
      </w:r>
      <w:r w:rsidRPr="006F2D9E">
        <w:rPr>
          <w:rFonts w:ascii="Arial" w:eastAsiaTheme="minorHAnsi" w:hAnsi="Arial" w:cs="Arial"/>
          <w:i/>
          <w:color w:val="auto"/>
          <w:vertAlign w:val="superscript"/>
          <w:lang w:eastAsia="en-US"/>
        </w:rPr>
        <w:footnoteReference w:id="5"/>
      </w:r>
      <w:r w:rsidRPr="006F2D9E">
        <w:rPr>
          <w:rFonts w:ascii="Arial" w:eastAsiaTheme="minorHAnsi" w:hAnsi="Arial" w:cs="Arial"/>
          <w:color w:val="auto"/>
          <w:lang w:eastAsia="en-US"/>
        </w:rPr>
        <w:t xml:space="preserve"> entsendet ein beratendes Aufsichtsratsmitglied.</w:t>
      </w:r>
    </w:p>
    <w:p w14:paraId="616E228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 Die Mitglieder des Aufsichtsrates sollen über die notwendige Sachkunde zur Verwirklichung des Gesellschaftszwecks verfügen. Die Aufsichtsratsmitglieder sollen nach Möglichkeit durch ihre Qualifikation folgende Bereiche abdecken:</w:t>
      </w:r>
    </w:p>
    <w:p w14:paraId="616E228B"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Erfahrung und Kompetenz im Sozialwesen bzw. christlichen Sozialmanagement</w:t>
      </w:r>
    </w:p>
    <w:p w14:paraId="616E228C"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Wirtschaftsprüfung und Finanzen</w:t>
      </w:r>
    </w:p>
    <w:p w14:paraId="616E228D"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Recht und Steuer</w:t>
      </w:r>
    </w:p>
    <w:p w14:paraId="616E228E"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Gewährleistung der regionalen bzw. örtlichen Verankerung in der Gesellschaft</w:t>
      </w:r>
    </w:p>
    <w:p w14:paraId="616E228F"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Die Mehrheit der Mitglieder des Aufsichtsrates soll der römisch-katholischen Kirche angehören.</w:t>
      </w:r>
    </w:p>
    <w:p w14:paraId="616E2290"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Dem Aufsichtsrat soll ein im Einzugsbereich der Sozialstation tätiger Priester oder Diakon oder hauptberuflich tätiger Mitarbeiter, der die „Beauftragung zum pastoralen Dienst“ oder die „</w:t>
      </w:r>
      <w:proofErr w:type="spellStart"/>
      <w:r w:rsidRPr="006F2D9E">
        <w:rPr>
          <w:rFonts w:ascii="Arial" w:eastAsiaTheme="minorHAnsi" w:hAnsi="Arial" w:cs="Arial"/>
          <w:color w:val="auto"/>
          <w:lang w:eastAsia="en-US"/>
        </w:rPr>
        <w:t>missio</w:t>
      </w:r>
      <w:proofErr w:type="spellEnd"/>
      <w:r w:rsidRPr="006F2D9E">
        <w:rPr>
          <w:rFonts w:ascii="Arial" w:eastAsiaTheme="minorHAnsi" w:hAnsi="Arial" w:cs="Arial"/>
          <w:color w:val="auto"/>
          <w:lang w:eastAsia="en-US"/>
        </w:rPr>
        <w:t xml:space="preserve"> canonica“ besitzt, angehören.</w:t>
      </w:r>
    </w:p>
    <w:p w14:paraId="616E229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Der Aufsichtsrat wählt aus seinen Mitgliedern einen Vorsitzenden und dessen Stellvertreter. Der Vorsitzende des Aufsichtsrates und der stellvertretende Vorsitzende muss der römisch-katholischen Kirche angehören, sofern nicht besondere Gründe etwas Anderes nahelegen.</w:t>
      </w:r>
    </w:p>
    <w:p w14:paraId="616E2292"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(6) </w:t>
      </w:r>
      <w:r w:rsidRPr="006F2D9E">
        <w:rPr>
          <w:rFonts w:ascii="Arial" w:eastAsiaTheme="minorHAnsi" w:hAnsi="Arial" w:cs="Arial"/>
          <w:color w:val="auto"/>
          <w:lang w:eastAsia="en-US"/>
        </w:rPr>
        <w:tab/>
        <w:t>Die Amtszeit der Mitglieder des Aufsichtsrates beträgt fünf Jahre. Die direkte Wiederwahl der Mitglieder des Aufsichtsrates ist einmal möglich. Nach Ablauf der zweiten Amtsperiode muss ein Aufsichtsratsmitglied mindestens eine reguläre Amtszeit aussetzen, bevor es wieder für maximal zwei aufeinanderfolgende Amtsperioden dem Aufsichtsrat angehören darf.</w:t>
      </w:r>
    </w:p>
    <w:p w14:paraId="616E229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Der Aufsichtsrat tritt nach Bedarf, jedoch mindestens viermal jährlich, zusammen. Die Einladung und Sitzungsleitung erfolgt durch den Vorsitzenden bzw. bei dessen Verhinderung durch den stellvertretenden Vorsitzenden. Auf Antrag eines Mitglieds des Aufsichtsrates, eines Gesellschafters oder eines Geschäftsführers ist eine Aufsichtsratssitzung einzuberufen.</w:t>
      </w:r>
    </w:p>
    <w:p w14:paraId="616E229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(8)</w:t>
      </w:r>
      <w:r w:rsidRPr="006F2D9E">
        <w:rPr>
          <w:rFonts w:ascii="Arial" w:eastAsiaTheme="minorHAnsi" w:hAnsi="Arial" w:cs="Arial"/>
          <w:color w:val="auto"/>
          <w:lang w:eastAsia="en-US"/>
        </w:rPr>
        <w:tab/>
        <w:t>Der Aufsichtsrat ist ehrenamtlich tätig. Den Mitgliedern des Aufsichtsrates kann eine Aufwandsentschädigung gewährt werden. Über die Höhe der Aufwandsentschädigung entscheidet die Gesellschafterversammlung.</w:t>
      </w:r>
    </w:p>
    <w:p w14:paraId="616E229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(9)</w:t>
      </w:r>
      <w:r w:rsidRPr="006F2D9E">
        <w:rPr>
          <w:rFonts w:ascii="Arial" w:eastAsiaTheme="minorHAnsi" w:hAnsi="Arial" w:cs="Arial"/>
          <w:color w:val="auto"/>
          <w:lang w:eastAsia="en-US"/>
        </w:rPr>
        <w:tab/>
        <w:t>Der Aufsichtsrat ist beschlussfähig, wenn mehr als die Hälfte seiner Mitglieder anwesend ist. Beschlüsse werden mit der Mehrheit der Stimmen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p w14:paraId="616E2296"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(10)</w:t>
      </w:r>
      <w:r w:rsidRPr="006F2D9E">
        <w:rPr>
          <w:rFonts w:ascii="Arial" w:eastAsiaTheme="minorHAnsi" w:hAnsi="Arial" w:cs="Arial"/>
          <w:color w:val="auto"/>
          <w:lang w:eastAsia="en-US"/>
        </w:rPr>
        <w:tab/>
        <w:t>Über jede Sitzung des Aufsichtsrates sowie über Beschlüsse ist eine Niederschrift anzufertigen, die vom amtierenden Vorsitzenden zu unterzeichnen ist.</w:t>
      </w:r>
    </w:p>
    <w:p w14:paraId="616E229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(11)</w:t>
      </w:r>
      <w:r w:rsidRPr="006F2D9E">
        <w:rPr>
          <w:rFonts w:ascii="Arial" w:eastAsiaTheme="minorHAnsi" w:hAnsi="Arial" w:cs="Arial"/>
          <w:color w:val="auto"/>
          <w:lang w:eastAsia="en-US"/>
        </w:rPr>
        <w:tab/>
        <w:t>Der Aufsichtsrat kann weitere Verfahrensbestimmungen in einer von ihm selbst erlassenen Geschäftsordnung regeln.</w:t>
      </w:r>
    </w:p>
    <w:p w14:paraId="616E229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(12)</w:t>
      </w:r>
      <w:r w:rsidRPr="006F2D9E">
        <w:rPr>
          <w:rFonts w:ascii="Arial" w:eastAsiaTheme="minorHAnsi" w:hAnsi="Arial" w:cs="Arial"/>
          <w:color w:val="auto"/>
          <w:lang w:eastAsia="en-US"/>
        </w:rPr>
        <w:tab/>
        <w:t>Die Mitglieder der Geschäftsführung nehmen an den Sitzungen des Aufsichtsrates teil, soweit nicht der Einladende anderes bestimmt oder der Aufsichtsrat anderes beschließt. Der Aufsichtsrat kann nach seinem Ermessen beschließen, sonstige Personen zur Beratung hinzuziehen.</w:t>
      </w:r>
    </w:p>
    <w:p w14:paraId="616E229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(13)</w:t>
      </w:r>
      <w:r w:rsidRPr="006F2D9E">
        <w:rPr>
          <w:rFonts w:ascii="Arial" w:eastAsiaTheme="minorHAnsi" w:hAnsi="Arial" w:cs="Arial"/>
          <w:color w:val="auto"/>
          <w:lang w:eastAsia="en-US"/>
        </w:rPr>
        <w:tab/>
        <w:t>Mitglieder des Aufsichtsrates der Gesellschaft können in der Gesellschafterversammlung nicht Bevollmächtigte des gesetzlichen Vertreters eines Gesellschafters sein.</w:t>
      </w:r>
    </w:p>
    <w:p w14:paraId="616E229A" w14:textId="77777777" w:rsidR="000A50D3" w:rsidRPr="006F2D9E" w:rsidRDefault="000A50D3" w:rsidP="000A50D3">
      <w:p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p w14:paraId="616E229B"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11</w:t>
      </w:r>
      <w:r w:rsidRPr="006F2D9E">
        <w:rPr>
          <w:rFonts w:ascii="Arial" w:hAnsi="Arial" w:cs="Arial"/>
          <w:b/>
        </w:rPr>
        <w:tab/>
        <w:t xml:space="preserve"> Aufgaben des Aufsichtsrates</w:t>
      </w:r>
    </w:p>
    <w:p w14:paraId="616E229C"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Der Aufsichtsrat hat eine ordnungsgemäße Erfüllung aller Aufgaben der Gesellschaft zu überwachen. Insbesondere berät und kontrolliert er die Geschäftsführung bei der Wahrnehmung der Aufgaben in der Ausführung der Belange der Gesellschaft, auch in konzeptioneller, finanzieller und personeller Hinsicht.</w:t>
      </w:r>
    </w:p>
    <w:p w14:paraId="616E229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Dem Aufsichtsrat obliegen:</w:t>
      </w:r>
    </w:p>
    <w:p w14:paraId="616E229E"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 xml:space="preserve">Bestellung und Abberufung der Geschäftsführung sowie Abschluss, Änderung, Aufhebung oder Kündigung des Anstellungsverhältnisses der Geschäftsführung, vorbehaltlich des Vetorechts der Gesellschafterversammlung gemäß § 9 Absatz </w:t>
      </w:r>
      <w:r w:rsidRPr="006F2D9E">
        <w:rPr>
          <w:rFonts w:ascii="Arial" w:hAnsi="Arial" w:cs="Arial"/>
          <w:color w:val="FF0000"/>
        </w:rPr>
        <w:t>2</w:t>
      </w:r>
      <w:r w:rsidRPr="006F2D9E">
        <w:rPr>
          <w:rFonts w:ascii="Arial" w:hAnsi="Arial" w:cs="Arial"/>
        </w:rPr>
        <w:t xml:space="preserve"> Nr. 3;</w:t>
      </w:r>
    </w:p>
    <w:p w14:paraId="616E229F"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Beratung und Stellungnahme zum Tätigkeits- und Finanzbericht der Geschäftsführung;</w:t>
      </w:r>
    </w:p>
    <w:p w14:paraId="616E22A0"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Vorberatung der der Gesellschafterversammlung obliegenden Angelegenheiten;</w:t>
      </w:r>
    </w:p>
    <w:p w14:paraId="616E22A1"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Bestellung des Abschlussprüfers und Festlegung des Prüfungsumfanges sowie die Beratung über den Bericht des Abschlussprüfers;</w:t>
      </w:r>
    </w:p>
    <w:p w14:paraId="616E22A2"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Genehmigung des Wirtschaftsplanes, der den Finanz- und Investitionsplan sowie die Personalplanung zu umfassen hat;</w:t>
      </w:r>
    </w:p>
    <w:p w14:paraId="616E22A3"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Billigung des Jahresabschlusses und des Lageberichtes; Ergebnisverwendungsvorschlag an die Gesellschafter;</w:t>
      </w:r>
    </w:p>
    <w:p w14:paraId="616E22A4"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Sonstige Geschäfte und Maßnahmen, die nach dem Gesellschaftsvertrag der Zustimmung des Aufsichtsrates bedürfen oder die dem Aufsichtsrat von der Geschäftsführung zur Entscheidung vorgelegt werden;</w:t>
      </w:r>
    </w:p>
    <w:p w14:paraId="616E22A5"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Beratung grundsätzlicher Fragen über Ziel und Struktur der Einrichtungen;</w:t>
      </w:r>
    </w:p>
    <w:p w14:paraId="616E22A6"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Mitteilungen des Ergebnisses seiner Überwachungstätigkeit an die Gesellschafterversammlung;</w:t>
      </w:r>
    </w:p>
    <w:p w14:paraId="616E22A7"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Geltendmachung von Ersatzansprüchen gegenüber den Geschäftsführern;</w:t>
      </w:r>
    </w:p>
    <w:p w14:paraId="616E22A8"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Vertretung der Gesellschaft gegenüber den Geschäftsführern gerichtlich und außergerichtlich;</w:t>
      </w:r>
    </w:p>
    <w:p w14:paraId="616E22A9"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Erstellung einer Geschäftsordnung für die Geschäftsführung und den Aufsichtsrat;</w:t>
      </w:r>
    </w:p>
    <w:p w14:paraId="616E22AA" w14:textId="77777777" w:rsidR="000A50D3" w:rsidRPr="006F2D9E" w:rsidRDefault="000A50D3" w:rsidP="000A50D3">
      <w:pPr>
        <w:ind w:left="-15" w:right="0" w:firstLine="0"/>
        <w:contextualSpacing/>
        <w:rPr>
          <w:rFonts w:ascii="Arial" w:hAnsi="Arial" w:cs="Arial"/>
        </w:rPr>
      </w:pPr>
    </w:p>
    <w:p w14:paraId="616E22AB"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 (3)</w:t>
      </w:r>
      <w:r w:rsidRPr="006F2D9E">
        <w:rPr>
          <w:rFonts w:ascii="Arial" w:eastAsiaTheme="minorHAnsi" w:hAnsi="Arial" w:cs="Arial"/>
          <w:color w:val="auto"/>
          <w:lang w:eastAsia="en-US"/>
        </w:rPr>
        <w:tab/>
        <w:t xml:space="preserve">Der Aufsichtsrat kann beschließen, dass bestimmte Rechtsgeschäfte und Tätigkeiten der Geschäftsführung seiner vorherigen Zustimmung bedürfen. Dem Aufsichtsrat obliegt mit Wirkung im Innenverhältnis insbesondere die Beschlussfassung über die Zustimmung bei: </w:t>
      </w:r>
    </w:p>
    <w:p w14:paraId="616E22AC" w14:textId="77777777" w:rsidR="000A50D3" w:rsidRPr="006F2D9E" w:rsidRDefault="000A50D3" w:rsidP="000A50D3">
      <w:pPr>
        <w:pStyle w:val="Listenabsatz"/>
        <w:numPr>
          <w:ilvl w:val="0"/>
          <w:numId w:val="15"/>
        </w:numPr>
        <w:suppressAutoHyphens/>
        <w:spacing w:after="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Errichtung, Übernahme und Auflösung von Unternehmen, Körperschaften und sonstigen Rechtspersonen sowie Erwerb oder Veräußerung oder Beendigung von Beteiligungen und Mitgliedschafen an solchen Rechtspersonen;</w:t>
      </w:r>
    </w:p>
    <w:p w14:paraId="616E22AD"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Errichtung und Auflösung von Zweigniederlassungen; </w:t>
      </w:r>
    </w:p>
    <w:p w14:paraId="616E22AE"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Rechtsgeschäfte über den Erwerb und die Veräußerung von Grundstücken;</w:t>
      </w:r>
    </w:p>
    <w:p w14:paraId="616E22AF"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Belastung von Grundstücken und grundstücksgleichen Rechten; </w:t>
      </w:r>
    </w:p>
    <w:p w14:paraId="616E22B0"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schenkungsweise Übertragung von Vermögenswerten aus dem Gesellschaftsvermögen auf einen anderen Rechtsträger;</w:t>
      </w:r>
    </w:p>
    <w:p w14:paraId="616E22B1" w14:textId="77777777" w:rsidR="000A50D3" w:rsidRPr="006F2D9E" w:rsidRDefault="000A50D3" w:rsidP="000A50D3">
      <w:pPr>
        <w:pStyle w:val="Listenabsatz"/>
        <w:numPr>
          <w:ilvl w:val="0"/>
          <w:numId w:val="15"/>
        </w:numPr>
        <w:rPr>
          <w:rFonts w:ascii="Arial" w:eastAsiaTheme="minorHAnsi" w:hAnsi="Arial" w:cs="Arial"/>
          <w:color w:val="auto"/>
          <w:lang w:eastAsia="en-US"/>
        </w:rPr>
      </w:pPr>
      <w:r w:rsidRPr="006F2D9E">
        <w:rPr>
          <w:rFonts w:ascii="Arial" w:eastAsiaTheme="minorHAnsi" w:hAnsi="Arial" w:cs="Arial"/>
          <w:color w:val="auto"/>
          <w:lang w:eastAsia="en-US"/>
        </w:rPr>
        <w:t>Aufnahme und Hingabe von Darlehen und Krediten, soweit im Einzelfall der Betrag von 30.000,00 Euro (in Worten: dreißigtausend Euro) überschritten wird;</w:t>
      </w:r>
    </w:p>
    <w:p w14:paraId="616E22B2"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Übernahme von Bürgschaften und Eingehen von Haftungen jeglicher Art, soweit diese nicht mit dem laufenden Geschäftsverkehr zusammenhängen; </w:t>
      </w:r>
    </w:p>
    <w:p w14:paraId="616E22B3"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Abschluss, Änderung und Beendigung von </w:t>
      </w:r>
      <w:proofErr w:type="spellStart"/>
      <w:r w:rsidRPr="006F2D9E">
        <w:rPr>
          <w:rFonts w:ascii="Arial" w:eastAsiaTheme="minorHAnsi" w:hAnsi="Arial" w:cs="Arial"/>
          <w:color w:val="auto"/>
          <w:lang w:eastAsia="en-US"/>
        </w:rPr>
        <w:t>Organschaftsverträgen</w:t>
      </w:r>
      <w:proofErr w:type="spellEnd"/>
      <w:r w:rsidRPr="006F2D9E">
        <w:rPr>
          <w:rFonts w:ascii="Arial" w:eastAsiaTheme="minorHAnsi" w:hAnsi="Arial" w:cs="Arial"/>
          <w:color w:val="auto"/>
          <w:lang w:eastAsia="en-US"/>
        </w:rPr>
        <w:t xml:space="preserve"> sowie Betriebsübernahme- und Betriebsüberlassungsverträgen jeglicher Art; </w:t>
      </w:r>
    </w:p>
    <w:p w14:paraId="616E22B4"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Investitionen ab einem Betrag von 20.000,00 EUR (zwanzigtausend Euro) im Einzelfall, wenn sie in dem genehmigten Jahresplan nicht enthalten sind;</w:t>
      </w:r>
    </w:p>
    <w:p w14:paraId="616E22B5" w14:textId="77777777" w:rsidR="000A50D3" w:rsidRPr="006F2D9E" w:rsidRDefault="000A50D3" w:rsidP="000A50D3">
      <w:pPr>
        <w:pStyle w:val="Listenabsatz"/>
        <w:numPr>
          <w:ilvl w:val="0"/>
          <w:numId w:val="15"/>
        </w:numPr>
        <w:rPr>
          <w:rFonts w:ascii="Arial" w:eastAsiaTheme="minorHAnsi" w:hAnsi="Arial" w:cs="Arial"/>
          <w:color w:val="auto"/>
          <w:lang w:eastAsia="en-US"/>
        </w:rPr>
      </w:pPr>
      <w:r w:rsidRPr="006F2D9E">
        <w:rPr>
          <w:rFonts w:ascii="Arial" w:eastAsiaTheme="minorHAnsi" w:hAnsi="Arial" w:cs="Arial"/>
          <w:color w:val="auto"/>
          <w:lang w:eastAsia="en-US"/>
        </w:rPr>
        <w:t>Entscheidungen über Baumaßnahmen und deren Finanzierung, die in ihrem Umfang über normale Instandsetzungsarbeiten und Ersatzbeschaffungen hinausgehen;</w:t>
      </w:r>
    </w:p>
    <w:p w14:paraId="616E22B6" w14:textId="77777777" w:rsidR="000A50D3" w:rsidRPr="006F2D9E" w:rsidRDefault="000A50D3" w:rsidP="000A50D3">
      <w:pPr>
        <w:pStyle w:val="Listenabsatz"/>
        <w:numPr>
          <w:ilvl w:val="0"/>
          <w:numId w:val="15"/>
        </w:numPr>
        <w:suppressAutoHyphens/>
        <w:spacing w:after="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Einstellung von Personal, wenn die Einstellungen jeweils in dem genehmigten Jahresplan/Stellenplan nicht enthalten sind;</w:t>
      </w:r>
    </w:p>
    <w:p w14:paraId="616E22B7" w14:textId="77777777" w:rsidR="000A50D3" w:rsidRPr="006F2D9E" w:rsidRDefault="000A50D3" w:rsidP="000A50D3">
      <w:pPr>
        <w:pStyle w:val="Listenabsatz"/>
        <w:numPr>
          <w:ilvl w:val="0"/>
          <w:numId w:val="15"/>
        </w:numPr>
        <w:spacing w:after="0"/>
        <w:rPr>
          <w:rFonts w:ascii="Arial" w:eastAsiaTheme="minorHAnsi" w:hAnsi="Arial" w:cs="Arial"/>
          <w:color w:val="auto"/>
          <w:lang w:eastAsia="en-US"/>
        </w:rPr>
      </w:pPr>
      <w:r w:rsidRPr="006F2D9E">
        <w:rPr>
          <w:rFonts w:ascii="Arial" w:eastAsiaTheme="minorHAnsi" w:hAnsi="Arial" w:cs="Arial"/>
          <w:color w:val="auto"/>
          <w:lang w:eastAsia="en-US"/>
        </w:rPr>
        <w:t>Beratungsleistungen und deren Vergütung, wenn die Beratungsleistungen jeweils in dem genehmigten Jahresplan nicht enthalten sind;</w:t>
      </w:r>
    </w:p>
    <w:p w14:paraId="616E22B8" w14:textId="77777777" w:rsidR="000A50D3" w:rsidRPr="006F2D9E" w:rsidRDefault="000A50D3" w:rsidP="000A50D3">
      <w:pPr>
        <w:numPr>
          <w:ilvl w:val="0"/>
          <w:numId w:val="15"/>
        </w:numPr>
        <w:spacing w:after="0"/>
        <w:ind w:right="0"/>
        <w:contextualSpacing/>
        <w:rPr>
          <w:rFonts w:ascii="Arial" w:eastAsiaTheme="minorHAnsi" w:hAnsi="Arial" w:cs="Arial"/>
          <w:color w:val="auto"/>
          <w:lang w:eastAsia="en-US"/>
        </w:rPr>
      </w:pPr>
      <w:r w:rsidRPr="006F2D9E">
        <w:rPr>
          <w:rFonts w:ascii="Arial" w:hAnsi="Arial" w:cs="Arial"/>
        </w:rPr>
        <w:t>Einstellung und Entlassung der Pflegedienstleitung der Sozialstation sowie Änderungen des Anstellungsverhältnisses der Pflegedienstleitung;</w:t>
      </w:r>
    </w:p>
    <w:p w14:paraId="616E22B9" w14:textId="77777777" w:rsidR="000A50D3" w:rsidRPr="006F2D9E" w:rsidRDefault="000A50D3" w:rsidP="000A50D3">
      <w:pPr>
        <w:numPr>
          <w:ilvl w:val="0"/>
          <w:numId w:val="15"/>
        </w:numPr>
        <w:spacing w:after="0"/>
        <w:ind w:right="0"/>
        <w:contextualSpacing/>
        <w:rPr>
          <w:rFonts w:ascii="Arial" w:eastAsiaTheme="minorHAnsi" w:hAnsi="Arial" w:cs="Arial"/>
          <w:color w:val="auto"/>
          <w:lang w:eastAsia="en-US"/>
        </w:rPr>
      </w:pPr>
      <w:r w:rsidRPr="006F2D9E">
        <w:rPr>
          <w:rFonts w:ascii="Arial" w:hAnsi="Arial" w:cs="Arial"/>
        </w:rPr>
        <w:t>Erteilung von Handlungsvollmachten und Prokura;</w:t>
      </w:r>
    </w:p>
    <w:p w14:paraId="616E22BA" w14:textId="77777777" w:rsidR="000A50D3" w:rsidRPr="006F2D9E" w:rsidRDefault="000A50D3" w:rsidP="000A50D3">
      <w:pPr>
        <w:numPr>
          <w:ilvl w:val="0"/>
          <w:numId w:val="15"/>
        </w:numPr>
        <w:spacing w:after="0"/>
        <w:ind w:right="0"/>
        <w:contextualSpacing/>
        <w:rPr>
          <w:rFonts w:ascii="Arial" w:hAnsi="Arial" w:cs="Arial"/>
        </w:rPr>
      </w:pPr>
      <w:r w:rsidRPr="006F2D9E">
        <w:rPr>
          <w:rFonts w:ascii="Arial" w:hAnsi="Arial" w:cs="Arial"/>
        </w:rPr>
        <w:t>Geschäften mit Mitgliedern der Geschäftsführung und des Aufsichtsrates;</w:t>
      </w:r>
    </w:p>
    <w:p w14:paraId="616E22BB" w14:textId="77777777" w:rsidR="000A50D3" w:rsidRPr="006F2D9E" w:rsidRDefault="000A50D3" w:rsidP="000A50D3">
      <w:pPr>
        <w:pStyle w:val="Listenabsatz"/>
        <w:numPr>
          <w:ilvl w:val="0"/>
          <w:numId w:val="15"/>
        </w:numPr>
        <w:spacing w:after="0"/>
        <w:rPr>
          <w:rFonts w:ascii="Arial" w:eastAsiaTheme="minorHAnsi" w:hAnsi="Arial" w:cs="Arial"/>
          <w:color w:val="auto"/>
          <w:lang w:eastAsia="en-US"/>
        </w:rPr>
      </w:pPr>
      <w:r w:rsidRPr="006F2D9E">
        <w:rPr>
          <w:rFonts w:ascii="Arial" w:eastAsiaTheme="minorHAnsi" w:hAnsi="Arial" w:cs="Arial"/>
          <w:color w:val="auto"/>
          <w:lang w:eastAsia="en-US"/>
        </w:rPr>
        <w:t>Einleitung von und Einlegung von Rechtsmitteln in Rechtsstreitigkeiten mit grundsätzlicher Bedeutung;</w:t>
      </w:r>
    </w:p>
    <w:p w14:paraId="616E22BC"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p>
    <w:p w14:paraId="616E22B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Der Aufsichtsrat kann weitere zustimmungsbedürftige Geschäfte festlegen, Näheres wird in der Geschäftsordnung geregelt.</w:t>
      </w:r>
    </w:p>
    <w:p w14:paraId="616E22B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r>
      <w:r w:rsidRPr="006F2D9E">
        <w:rPr>
          <w:rFonts w:ascii="Arial" w:hAnsi="Arial" w:cs="Arial"/>
          <w:color w:val="auto"/>
        </w:rPr>
        <w:t>Die Aufsichtsratsmitglieder haben die Interessen der Gesellschafter zu verfolgen. Sie sind an die Beschlüsse der Gesellschafterversammlung gebunden. Im Übrigen unterliegen sie keiner Weisung.</w:t>
      </w:r>
      <w:r w:rsidRPr="006F2D9E">
        <w:rPr>
          <w:rFonts w:ascii="Arial" w:eastAsiaTheme="minorHAnsi" w:hAnsi="Arial" w:cs="Arial"/>
          <w:color w:val="auto"/>
          <w:lang w:eastAsia="en-US"/>
        </w:rPr>
        <w:t xml:space="preserve"> Sie sind zur Verschwiegenheit verpflichtet.</w:t>
      </w:r>
    </w:p>
    <w:p w14:paraId="616E22BF"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12 Geschäftsführung</w:t>
      </w:r>
    </w:p>
    <w:p w14:paraId="616E22C0"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Die Gesellschaft wird jeweils gerichtlich und außergerichtlich durch zwei Geschäftsführer gemeinsam vertreten. </w:t>
      </w:r>
      <w:r w:rsidRPr="006F2D9E">
        <w:rPr>
          <w:rFonts w:ascii="Arial" w:hAnsi="Arial" w:cs="Arial"/>
          <w:color w:val="auto"/>
        </w:rPr>
        <w:t xml:space="preserve">Die in Satz 1 genannten Personen müssen der römisch-katholischen Kirche angehören, </w:t>
      </w:r>
      <w:r w:rsidRPr="006F2D9E">
        <w:rPr>
          <w:rFonts w:ascii="Arial" w:eastAsiaTheme="minorHAnsi" w:hAnsi="Arial" w:cs="Arial"/>
          <w:color w:val="auto"/>
          <w:lang w:eastAsia="en-US"/>
        </w:rPr>
        <w:t>sofern nicht besondere Gründe etwas Anderes nahelegen.</w:t>
      </w:r>
    </w:p>
    <w:p w14:paraId="616E22C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Geschäftsführer sind für Rechtsgeschäfte mit anderen gemeinnützigen Organisationen von den Beschränkungen des § 181 BGB befreit.</w:t>
      </w:r>
    </w:p>
    <w:p w14:paraId="616E22C2"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(3) </w:t>
      </w:r>
      <w:r w:rsidRPr="006F2D9E">
        <w:rPr>
          <w:rFonts w:ascii="Arial" w:eastAsiaTheme="minorHAnsi" w:hAnsi="Arial" w:cs="Arial"/>
          <w:color w:val="auto"/>
          <w:lang w:eastAsia="en-US"/>
        </w:rPr>
        <w:tab/>
        <w:t xml:space="preserve">Das Dienstverhältnis und der Dienstvertrag der Geschäftsführung werden in Anlehnung an die Allgemeinen Vertragsrichtlinien der Caritas gestaltet. </w:t>
      </w:r>
    </w:p>
    <w:p w14:paraId="616E22C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Der Geschäftsführung obliegt die Führung der Geschäfte der Gesellschaft im Rahmen des Gesellschaftsvertrages, der Beschlüsse der Gesellschafterversammlung und des Aufsichtsrates sowie den Bestimmungen der Geschäftsordnung, sowie aus den gesetzlichen Vorschriften.</w:t>
      </w:r>
    </w:p>
    <w:p w14:paraId="616E22C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Die Geschäftsführung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w:t>
      </w:r>
    </w:p>
    <w:p w14:paraId="616E22C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(6)</w:t>
      </w:r>
      <w:r w:rsidRPr="006F2D9E">
        <w:rPr>
          <w:rFonts w:ascii="Arial" w:eastAsiaTheme="minorHAnsi" w:hAnsi="Arial" w:cs="Arial"/>
          <w:color w:val="auto"/>
          <w:lang w:eastAsia="en-US"/>
        </w:rPr>
        <w:tab/>
        <w:t>Die Geschäftsführung hat:</w:t>
      </w:r>
    </w:p>
    <w:p w14:paraId="616E22C6"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der Gesellschafterversammlung jährlich - möglichst bis zum 01.12. des Vorjahres -  einen vom Aufsichtsrat genehmigten Wirtschaftsplan vorzulegen, der für das neue Geschäftsjahr detailliert einen Investitions- und Finanzplan enthalten muss;</w:t>
      </w:r>
    </w:p>
    <w:p w14:paraId="616E22C7"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über die Einhaltung des Wirtschaftsplanes und etwa notwendiger Korrekturen ist der Aufsichtsrat mindestens halbjährlich zu informieren;</w:t>
      </w:r>
    </w:p>
    <w:p w14:paraId="616E22C8"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innerhalb der gesetzlich vorgeschriebenen Frist den Jahresabschluss und den Lagebericht aufzustellen und dem Aufsichtsrat und der Gesellschafterversammlung unverzüglich vorzulegen;</w:t>
      </w:r>
    </w:p>
    <w:p w14:paraId="616E22C9"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dem Aufsichtsrat regelmäßig zu berichten über:</w:t>
      </w:r>
    </w:p>
    <w:p w14:paraId="616E22CA"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hAnsi="Arial" w:cs="Arial"/>
          <w:color w:val="auto"/>
        </w:rPr>
        <w:t xml:space="preserve">Die beabsichtigte Geschäftspolitik und andere grundsätzliche Fragen der Finanzplanung. </w:t>
      </w:r>
    </w:p>
    <w:p w14:paraId="616E22CB"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hAnsi="Arial" w:cs="Arial"/>
          <w:color w:val="auto"/>
        </w:rPr>
        <w:t xml:space="preserve">Die Frage der Kostendeckung und Liquidität der Gesellschaft. </w:t>
      </w:r>
    </w:p>
    <w:p w14:paraId="616E22CC"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eastAsiaTheme="minorHAnsi" w:hAnsi="Arial" w:cs="Arial"/>
          <w:color w:val="auto"/>
          <w:lang w:eastAsia="en-US"/>
        </w:rPr>
        <w:t>Den Gang der Geschäfte, insbesondere den Umsatz und die Lage der Gesellschaft.</w:t>
      </w:r>
    </w:p>
    <w:p w14:paraId="616E22CD"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eastAsiaTheme="minorHAnsi" w:hAnsi="Arial" w:cs="Arial"/>
          <w:color w:val="auto"/>
          <w:lang w:eastAsia="en-US"/>
        </w:rPr>
        <w:t>Geschäfte, die für die Kostendeckung oder Liquidität der Gesellschaft von erheblicher Bedeutung oder Risiken für die Gesellschaft sind.</w:t>
      </w:r>
    </w:p>
    <w:p w14:paraId="616E22CE" w14:textId="77777777" w:rsidR="000A50D3" w:rsidRPr="006F2D9E" w:rsidRDefault="000A50D3" w:rsidP="000A50D3">
      <w:pPr>
        <w:ind w:left="345" w:right="0" w:firstLine="0"/>
        <w:contextualSpacing/>
        <w:rPr>
          <w:rFonts w:ascii="Arial" w:hAnsi="Arial" w:cs="Arial"/>
          <w:color w:val="auto"/>
        </w:rPr>
      </w:pPr>
    </w:p>
    <w:p w14:paraId="616E22C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Die Geschäftsführung hat geeignete Maßnahmen zu treffen, insbesondere ein Überwachungssystem (internes Kontrollsystem) einzurichten, damit die den Fortbestand der Gesellschaft gefährdenden Entwicklungen frühzeitig erkannt werden.</w:t>
      </w:r>
    </w:p>
    <w:p w14:paraId="616E22D0"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13</w:t>
      </w:r>
      <w:r w:rsidRPr="006F2D9E">
        <w:rPr>
          <w:rFonts w:ascii="Arial" w:hAnsi="Arial" w:cs="Arial"/>
          <w:b/>
          <w:color w:val="auto"/>
        </w:rPr>
        <w:tab/>
        <w:t xml:space="preserve"> Rechnungslegung, Jahresabschluss</w:t>
      </w:r>
    </w:p>
    <w:p w14:paraId="616E22D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Rechnungslegung und die Erstellung des Jahresabschlusses richten sich nach den gesetzlichen Bestimmungen.</w:t>
      </w:r>
    </w:p>
    <w:p w14:paraId="616E22D2" w14:textId="20E37A3C" w:rsidR="000A50D3" w:rsidRPr="006F2D9E" w:rsidRDefault="000A50D3" w:rsidP="000A50D3">
      <w:pPr>
        <w:suppressAutoHyphens/>
        <w:spacing w:after="160" w:line="256" w:lineRule="auto"/>
        <w:ind w:left="0" w:right="0" w:hanging="567"/>
        <w:rPr>
          <w:rFonts w:ascii="Arial" w:hAnsi="Arial" w:cs="Arial"/>
          <w:color w:val="auto"/>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 xml:space="preserve">Die Geschäftsführung ist verpflichtet, </w:t>
      </w:r>
      <w:r w:rsidRPr="006F2D9E">
        <w:rPr>
          <w:rFonts w:ascii="Arial" w:hAnsi="Arial" w:cs="Arial"/>
          <w:color w:val="auto"/>
        </w:rPr>
        <w:t xml:space="preserve">den Jahresabschluss durch einen Wirtschaftsprüfer, der vom Aufsichtsrat bestellt wird, jährlich prüfen ggf. testieren zu lassen; die Maßgaben der VDD Prüfungsrichtlinie in der gültigen Fassung werden zusätzlich herangezogen. Soweit </w:t>
      </w:r>
      <w:r w:rsidR="003A4F79">
        <w:rPr>
          <w:rFonts w:ascii="Arial" w:hAnsi="Arial" w:cs="Arial"/>
          <w:color w:val="auto"/>
        </w:rPr>
        <w:t>die Gesellschaft</w:t>
      </w:r>
      <w:r w:rsidRPr="006F2D9E">
        <w:rPr>
          <w:rFonts w:ascii="Arial" w:hAnsi="Arial" w:cs="Arial"/>
          <w:color w:val="auto"/>
        </w:rPr>
        <w:t xml:space="preserve"> nicht unter die Größenkriterien der VDD-Prüfungsrichtlinie fällt, ist zumindest eine prüferische Durchsicht durchzuführen. Die Prüfungsgesellschaft ist spätestens nach 10 Jahren zu wechseln.</w:t>
      </w:r>
    </w:p>
    <w:p w14:paraId="616E22D3" w14:textId="77777777" w:rsidR="000A50D3" w:rsidRPr="006F2D9E" w:rsidRDefault="000A50D3" w:rsidP="000A50D3">
      <w:pPr>
        <w:suppressAutoHyphens/>
        <w:spacing w:after="160" w:line="256" w:lineRule="auto"/>
        <w:ind w:left="2127" w:right="0" w:firstLine="0"/>
        <w:rPr>
          <w:rFonts w:ascii="Arial" w:hAnsi="Arial" w:cs="Arial"/>
          <w:b/>
          <w:color w:val="auto"/>
        </w:rPr>
      </w:pPr>
      <w:r w:rsidRPr="006F2D9E">
        <w:rPr>
          <w:rFonts w:ascii="Arial" w:hAnsi="Arial" w:cs="Arial"/>
          <w:b/>
          <w:color w:val="auto"/>
        </w:rPr>
        <w:t>§ 14</w:t>
      </w:r>
      <w:r w:rsidRPr="006F2D9E">
        <w:rPr>
          <w:rFonts w:ascii="Arial" w:hAnsi="Arial" w:cs="Arial"/>
          <w:b/>
          <w:color w:val="auto"/>
        </w:rPr>
        <w:tab/>
        <w:t xml:space="preserve"> Haftungsbeschränkung</w:t>
      </w:r>
    </w:p>
    <w:p w14:paraId="616E22D4" w14:textId="77777777" w:rsidR="000A50D3" w:rsidRPr="006F2D9E" w:rsidRDefault="000A50D3" w:rsidP="000A50D3">
      <w:pPr>
        <w:pStyle w:val="Listenabsatz"/>
        <w:numPr>
          <w:ilvl w:val="0"/>
          <w:numId w:val="18"/>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Die Mitglieder der Organe haften der Gesellschaft gegenüber nur für Vorsatz und grobe Fahrlässigkeit. </w:t>
      </w:r>
    </w:p>
    <w:p w14:paraId="616E22D5" w14:textId="77777777" w:rsidR="000A50D3" w:rsidRPr="006F2D9E" w:rsidRDefault="000A50D3" w:rsidP="000A50D3">
      <w:pPr>
        <w:pStyle w:val="Listenabsatz"/>
        <w:numPr>
          <w:ilvl w:val="0"/>
          <w:numId w:val="18"/>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Gesellschaft schließt eine Haftpflichtversicherung und eine D&amp;O-Versicherung für alle Organmitglieder ab.</w:t>
      </w:r>
    </w:p>
    <w:p w14:paraId="616E22D6"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15</w:t>
      </w:r>
      <w:r w:rsidRPr="006F2D9E">
        <w:rPr>
          <w:rFonts w:ascii="Arial" w:hAnsi="Arial" w:cs="Arial"/>
          <w:b/>
          <w:color w:val="auto"/>
        </w:rPr>
        <w:tab/>
        <w:t xml:space="preserve"> Bekanntmachungen der Gesellschaft</w:t>
      </w:r>
    </w:p>
    <w:p w14:paraId="616E22D7"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Bekanntmachungen der Gesellschaft werden ausschließlich im elektronischen Bundesanzeiger veröffentlicht. </w:t>
      </w:r>
    </w:p>
    <w:p w14:paraId="616E22D8"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16</w:t>
      </w:r>
      <w:r w:rsidRPr="006F2D9E">
        <w:rPr>
          <w:rFonts w:ascii="Arial" w:hAnsi="Arial" w:cs="Arial"/>
          <w:b/>
          <w:color w:val="auto"/>
        </w:rPr>
        <w:tab/>
        <w:t xml:space="preserve"> Auflösung der Gesellschaft</w:t>
      </w:r>
    </w:p>
    <w:p w14:paraId="616E22D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Bei Auflösung der Gesellschaft erfolgt die Liquidation durch die Geschäftsführung. </w:t>
      </w:r>
    </w:p>
    <w:p w14:paraId="616E22D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 xml:space="preserve">Bei Auflösung oder Aufhebung der Gesellschaft, oder beim Wegfall der steuerbegünstigten Zwecke, wird das Vermögen an die zu diesem Zeitpunkt beteiligten Gesellschafter entsprechend ihrer eingebrachten Kapitalanteile ausgezahlt. Soweit es die eingezahlten Kapitalanteile übersteigt, darf es nur für gemeinnützige und mildtätige Zwecke im Sinne des Abschnitts steuerbegünstigte Zwecke der Abgabenordnung verwendet werden. </w:t>
      </w:r>
    </w:p>
    <w:p w14:paraId="616E22DB"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(3) </w:t>
      </w:r>
      <w:r w:rsidRPr="006F2D9E">
        <w:rPr>
          <w:rFonts w:ascii="Arial" w:eastAsiaTheme="minorHAnsi" w:hAnsi="Arial" w:cs="Arial"/>
          <w:color w:val="auto"/>
          <w:lang w:eastAsia="en-US"/>
        </w:rPr>
        <w:tab/>
        <w:t xml:space="preserve">Soweit die vorstehenden sachlichen Voraussetzungen für alle oder einzelne Gesellschafter nicht vorliegen, fällt das Gesellschaftsvermögen an [sonstige kirchliche juristische Personen], die es i. S. des Gesellschafterzweckes zu verwenden haben. </w:t>
      </w:r>
    </w:p>
    <w:p w14:paraId="616E22DC"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17</w:t>
      </w:r>
      <w:r w:rsidRPr="006F2D9E">
        <w:rPr>
          <w:rFonts w:ascii="Arial" w:hAnsi="Arial" w:cs="Arial"/>
          <w:b/>
          <w:color w:val="auto"/>
        </w:rPr>
        <w:tab/>
        <w:t xml:space="preserve"> Ausscheiden eines Gesellschafters</w:t>
      </w:r>
    </w:p>
    <w:p w14:paraId="616E22D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Jeder Gesellschafter kann aus wichtigem Grund seinen Austritt aus der Gesellschaft erklären.</w:t>
      </w:r>
    </w:p>
    <w:p w14:paraId="616E22D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Der Austritt kann nur zum Ende des Geschäftsjahres erfolgen. Er ist unter Einhaltung einer Frist von sechs Monaten durch eingeschriebenen Brief gegenüber der Gesellschaft zu erklären. Der Gesellschafter ist verpflichtet, seinen Geschäftsanteil gegen Erstattung des Wertes seiner Stammeinlage auf die anderen Gesellschafter zu übertragen.</w:t>
      </w:r>
    </w:p>
    <w:p w14:paraId="616E22DF"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18 Informations- und Kooperationspflichten</w:t>
      </w:r>
    </w:p>
    <w:p w14:paraId="5EED6863" w14:textId="404CDFB3" w:rsidR="00411A1F" w:rsidRPr="006F2D9E" w:rsidRDefault="00411A1F" w:rsidP="00411A1F">
      <w:pPr>
        <w:pStyle w:val="Listenabsatz"/>
        <w:numPr>
          <w:ilvl w:val="0"/>
          <w:numId w:val="23"/>
        </w:numPr>
        <w:suppressAutoHyphens/>
        <w:spacing w:after="160" w:line="259"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Geschäftsführung ist verpflichtet, dem Caritasverband für die Erzdiözese Freiburg e. V.:</w:t>
      </w:r>
    </w:p>
    <w:p w14:paraId="54CA9480" w14:textId="77777777" w:rsidR="00411A1F" w:rsidRPr="006F2D9E" w:rsidRDefault="00411A1F" w:rsidP="00411A1F">
      <w:pPr>
        <w:pStyle w:val="Listenabsatz"/>
        <w:numPr>
          <w:ilvl w:val="0"/>
          <w:numId w:val="22"/>
        </w:numPr>
        <w:spacing w:line="269" w:lineRule="auto"/>
        <w:rPr>
          <w:rFonts w:ascii="Arial" w:eastAsiaTheme="minorHAnsi" w:hAnsi="Arial" w:cs="Arial"/>
          <w:color w:val="auto"/>
          <w:lang w:eastAsia="en-US"/>
        </w:rPr>
      </w:pPr>
      <w:r w:rsidRPr="006F2D9E">
        <w:rPr>
          <w:rFonts w:ascii="Arial" w:eastAsiaTheme="minorHAnsi" w:hAnsi="Arial" w:cs="Arial"/>
          <w:color w:val="auto"/>
          <w:lang w:eastAsia="en-US"/>
        </w:rPr>
        <w:t>Alle Informationen zu erteilen und Unterlagen zur Verfügung zu stellen, die zur Erfüllung dessen Aufgaben erforderlich sind</w:t>
      </w:r>
      <w:r w:rsidRPr="006F2D9E">
        <w:rPr>
          <w:rFonts w:ascii="Arial" w:hAnsi="Arial" w:cs="Arial"/>
          <w:sz w:val="24"/>
          <w:szCs w:val="24"/>
        </w:rPr>
        <w:t>.</w:t>
      </w:r>
    </w:p>
    <w:p w14:paraId="7AAFD9F9" w14:textId="77777777" w:rsidR="00411A1F" w:rsidRPr="006F2D9E" w:rsidRDefault="00411A1F" w:rsidP="00411A1F">
      <w:pPr>
        <w:pStyle w:val="Listenabsatz"/>
        <w:numPr>
          <w:ilvl w:val="0"/>
          <w:numId w:val="22"/>
        </w:numPr>
        <w:spacing w:line="269" w:lineRule="auto"/>
        <w:rPr>
          <w:rFonts w:ascii="Arial" w:eastAsiaTheme="minorHAnsi" w:hAnsi="Arial" w:cs="Arial"/>
          <w:color w:val="auto"/>
          <w:lang w:eastAsia="en-US"/>
        </w:rPr>
      </w:pPr>
      <w:r w:rsidRPr="006F2D9E">
        <w:rPr>
          <w:rFonts w:ascii="Arial" w:eastAsiaTheme="minorHAnsi" w:hAnsi="Arial" w:cs="Arial"/>
          <w:color w:val="auto"/>
          <w:lang w:eastAsia="en-US"/>
        </w:rPr>
        <w:t>Den Jahresabschluss, die Testate und die Prüfungsberichte dem Caritasverband für die Erzdiözese Freiburg e.V. jährlich vorzulegen.</w:t>
      </w:r>
    </w:p>
    <w:p w14:paraId="474A1FBD" w14:textId="77777777" w:rsidR="00411A1F" w:rsidRPr="006F2D9E" w:rsidRDefault="00411A1F" w:rsidP="00411A1F">
      <w:pPr>
        <w:pStyle w:val="Listenabsatz"/>
        <w:numPr>
          <w:ilvl w:val="0"/>
          <w:numId w:val="22"/>
        </w:numPr>
        <w:spacing w:line="269" w:lineRule="auto"/>
        <w:rPr>
          <w:rFonts w:ascii="Arial" w:eastAsiaTheme="minorHAnsi" w:hAnsi="Arial" w:cs="Arial"/>
          <w:color w:val="auto"/>
          <w:lang w:eastAsia="en-US"/>
        </w:rPr>
      </w:pPr>
      <w:r w:rsidRPr="006F2D9E">
        <w:rPr>
          <w:rFonts w:ascii="Arial" w:eastAsiaTheme="minorHAnsi" w:hAnsi="Arial" w:cs="Arial"/>
          <w:color w:val="auto"/>
          <w:lang w:eastAsia="en-US"/>
        </w:rPr>
        <w:t>Die Buchhaltung, den Jahresabschluss und die Geschäftsführung durch den Caritasverband für die Erzdiözese Freiburg e.V. oder durch einen hierzu Beauftragten auf Verlangen prüfen zu lassen.</w:t>
      </w:r>
    </w:p>
    <w:p w14:paraId="01B0804A" w14:textId="75969B62" w:rsidR="00411A1F" w:rsidRPr="006F2D9E" w:rsidRDefault="00411A1F" w:rsidP="00411A1F">
      <w:pPr>
        <w:ind w:hanging="577"/>
        <w:rPr>
          <w:rStyle w:val="Funotenzeichen"/>
          <w:rFonts w:ascii="Arial" w:hAnsi="Arial" w:cs="Arial"/>
          <w:sz w:val="24"/>
          <w:szCs w:val="24"/>
        </w:rPr>
      </w:pPr>
      <w:r w:rsidRPr="006F2D9E">
        <w:rPr>
          <w:rFonts w:ascii="Arial" w:eastAsiaTheme="minorHAnsi" w:hAnsi="Arial" w:cs="Arial"/>
          <w:color w:val="auto"/>
          <w:lang w:eastAsia="en-US"/>
        </w:rPr>
        <w:t xml:space="preserve">(2) </w:t>
      </w:r>
      <w:r w:rsidRPr="006F2D9E">
        <w:rPr>
          <w:rFonts w:ascii="Arial" w:eastAsiaTheme="minorHAnsi" w:hAnsi="Arial" w:cs="Arial"/>
          <w:color w:val="auto"/>
          <w:lang w:eastAsia="en-US"/>
        </w:rPr>
        <w:tab/>
        <w:t>Es gelten die Richtlinien über die korporative und assoziierte korporative Mitglied</w:t>
      </w:r>
      <w:r w:rsidR="00DA6493">
        <w:rPr>
          <w:rFonts w:ascii="Arial" w:eastAsiaTheme="minorHAnsi" w:hAnsi="Arial" w:cs="Arial"/>
          <w:color w:val="auto"/>
          <w:lang w:eastAsia="en-US"/>
        </w:rPr>
        <w:t xml:space="preserve">schaft im Caritasverband </w:t>
      </w:r>
      <w:r w:rsidRPr="006F2D9E">
        <w:rPr>
          <w:rFonts w:ascii="Arial" w:eastAsiaTheme="minorHAnsi" w:hAnsi="Arial" w:cs="Arial"/>
          <w:color w:val="auto"/>
          <w:lang w:eastAsia="en-US"/>
        </w:rPr>
        <w:t>für die Erzdiözese Freiburg e. V. in ihrer jeweils gültigen Fassung.</w:t>
      </w:r>
    </w:p>
    <w:p w14:paraId="616E22E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p>
    <w:p w14:paraId="616E22E6"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19</w:t>
      </w:r>
      <w:r w:rsidRPr="006F2D9E">
        <w:rPr>
          <w:rFonts w:ascii="Arial" w:hAnsi="Arial" w:cs="Arial"/>
          <w:b/>
          <w:color w:val="auto"/>
        </w:rPr>
        <w:tab/>
        <w:t>Förderung und Sicherung der kirchlichen Sendung, bischöfliche Aufsicht</w:t>
      </w:r>
    </w:p>
    <w:p w14:paraId="616E22E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Die Gesellschaft und ihre Organe unterstehen der Aufsicht des Ordinarius von Freiburg, welche durch das Erzbischöfliche Ordinariat in Freiburg ausgeübt wird. </w:t>
      </w:r>
    </w:p>
    <w:p w14:paraId="616E22E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Geschäftsführung unterrichtet das Erzbischöfliche Ordinariat Freiburg auf Verlangen sowie den Rechnungshof der Erzdiözese Freiburg jährlich über ihre Haushalts- und Wirtschaftsführung durch Übersendung des Jahresberichts und des geprüften Jahresabschlusses.</w:t>
      </w:r>
    </w:p>
    <w:p w14:paraId="616E22E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Dem Erzbischöflichen Ordinariat Freiburg und dem Rechnungshof der Erzdiözese Freiburg bleibt das Recht vorbehalten, Auskünfte über die Tätigkeit der Gesellschaft und ihre Haushalts- und Wirtschaftsführung einzuholen, Einsicht in die Unterlagen der Gesellschaft zu nehmen, sowie Prüfungen vorzunehmen bzw. zu veranlassen.</w:t>
      </w:r>
    </w:p>
    <w:p w14:paraId="616E22E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 xml:space="preserve">Folgende Rechtsgeschäfte/Rechtsakte bedürfen zu ihrer Rechtswirksamkeit im Außenverhältnis der Genehmigung des Erzbischöflichen Ordinariates Freiburg: </w:t>
      </w:r>
    </w:p>
    <w:p w14:paraId="616E22EB"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 Wahl von Priestern, Diakonen und hauptamtlichen Mitarbeitenden des pastoralen und katechetischen Dienstes in den Aufsichtsrat;</w:t>
      </w:r>
    </w:p>
    <w:p w14:paraId="616E22EC"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Rechtsgeschäfte mit Organmitgliedern oder Rechtsgeschäfte mit Personen, die mit einem Organmitglied in einem die Befangenheit begründenden Verhältnis stehen;</w:t>
      </w:r>
    </w:p>
    <w:p w14:paraId="616E22ED"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Errichtung und Auflösung der Gesellschaft;</w:t>
      </w:r>
    </w:p>
    <w:p w14:paraId="616E22EE"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 Umwandlung der Gesellschaft nach dem Umwandlungsgesetz oder der Formwechsel in eine andere Rechtsform;</w:t>
      </w:r>
    </w:p>
    <w:p w14:paraId="616E22EF"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dieser Gesellschaftsvertrag die Änderung des Gesellschaftsvertrages oder des Gesellschaftszweckes;</w:t>
      </w:r>
    </w:p>
    <w:p w14:paraId="616E22F0"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 Übertragung von Gesellschaftsanteilen an Dritte;</w:t>
      </w:r>
    </w:p>
    <w:p w14:paraId="616E22F1" w14:textId="77777777" w:rsidR="000A50D3" w:rsidRPr="006F2D9E" w:rsidRDefault="000A50D3" w:rsidP="000A50D3">
      <w:pPr>
        <w:ind w:left="340" w:right="0" w:firstLine="0"/>
        <w:contextualSpacing/>
        <w:rPr>
          <w:rFonts w:ascii="Arial" w:hAnsi="Arial" w:cs="Arial"/>
          <w:color w:val="auto"/>
        </w:rPr>
      </w:pPr>
    </w:p>
    <w:p w14:paraId="616E22F2" w14:textId="51495968"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20</w:t>
      </w:r>
      <w:r w:rsidRPr="006F2D9E">
        <w:rPr>
          <w:rFonts w:ascii="Arial" w:hAnsi="Arial" w:cs="Arial"/>
          <w:b/>
        </w:rPr>
        <w:tab/>
        <w:t xml:space="preserve"> Schlussbestimmungen, Kosten</w:t>
      </w:r>
      <w:r w:rsidR="008F264B" w:rsidRPr="006F2D9E">
        <w:rPr>
          <w:rStyle w:val="Funotenzeichen"/>
          <w:rFonts w:ascii="Arial" w:hAnsi="Arial" w:cs="Arial"/>
          <w:b/>
        </w:rPr>
        <w:footnoteReference w:id="6"/>
      </w:r>
    </w:p>
    <w:p w14:paraId="616E22F3" w14:textId="77777777" w:rsidR="000A50D3" w:rsidRPr="006F2D9E" w:rsidRDefault="000A50D3" w:rsidP="000A50D3">
      <w:pPr>
        <w:pStyle w:val="Listenabsatz"/>
        <w:numPr>
          <w:ilvl w:val="0"/>
          <w:numId w:val="2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dieser Gesellschaftsvertrag keine besonderen Bestimmungen trifft, gelten die gesetzlichen Bestimmungen. Sollten einzelne Bestimmungen dieses Gesellschaftsvertrages ungültig sein oder werden, bleibt der Gesellschaftsvertrag mit den wirksamen Teilen in Kraft. Die unwirksamen Bestimmungen sind mittels Beschluss der Gesellschafterversammlung durch solche wirksamen zu ersetzen, die dem wirtschaftlichen und rechtlichen Zwecke der unwirksamen Bestimmungen am nächsten kommen.</w:t>
      </w:r>
    </w:p>
    <w:p w14:paraId="616E22F4" w14:textId="77777777" w:rsidR="000A50D3" w:rsidRPr="006F2D9E" w:rsidRDefault="000A50D3" w:rsidP="000A50D3">
      <w:pPr>
        <w:pStyle w:val="Listenabsatz"/>
        <w:numPr>
          <w:ilvl w:val="0"/>
          <w:numId w:val="2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Alle das Gesellschaftsverhältnis betreffenden Vereinbarungen der Gesellschafter untereinander und mit der Gesellschaft bedürfen der Schriftform bzw. nach Maßgabe der gesetzlichen Bestimmungen der notariellen Beurkundung. Dies gilt auch für einen etwaigen Verzicht auf das Schriftformerfordernis.</w:t>
      </w:r>
    </w:p>
    <w:p w14:paraId="616E22F5" w14:textId="77777777" w:rsidR="000A50D3" w:rsidRPr="006F2D9E" w:rsidRDefault="000A50D3" w:rsidP="000A50D3">
      <w:pPr>
        <w:suppressAutoHyphens/>
        <w:spacing w:after="160" w:line="256" w:lineRule="auto"/>
        <w:ind w:left="0" w:right="0" w:hanging="567"/>
        <w:rPr>
          <w:rFonts w:ascii="Arial" w:hAnsi="Arial" w:cs="Arial"/>
          <w:color w:val="auto"/>
          <w:sz w:val="20"/>
          <w:szCs w:val="20"/>
        </w:rPr>
      </w:pPr>
      <w:r w:rsidRPr="006F2D9E">
        <w:rPr>
          <w:rFonts w:ascii="Arial" w:eastAsiaTheme="minorHAnsi" w:hAnsi="Arial" w:cs="Arial"/>
          <w:color w:val="auto"/>
          <w:lang w:eastAsia="en-US"/>
        </w:rPr>
        <w:t>(3)</w:t>
      </w:r>
      <w:r w:rsidRPr="006F2D9E">
        <w:rPr>
          <w:rFonts w:ascii="Arial" w:eastAsiaTheme="minorHAnsi" w:hAnsi="Arial" w:cs="Arial"/>
          <w:color w:val="C00000"/>
          <w:lang w:eastAsia="en-US"/>
        </w:rPr>
        <w:tab/>
      </w:r>
      <w:r w:rsidRPr="006F2D9E">
        <w:rPr>
          <w:rFonts w:ascii="Arial" w:eastAsiaTheme="minorHAnsi" w:hAnsi="Arial" w:cs="Arial"/>
          <w:color w:val="auto"/>
          <w:lang w:eastAsia="en-US"/>
        </w:rPr>
        <w:t>Die Kosten der Umwandlung trägt die Gesellschaft.</w:t>
      </w:r>
    </w:p>
    <w:p w14:paraId="616E22F6" w14:textId="77777777" w:rsidR="00D929A7" w:rsidRPr="006F2D9E" w:rsidRDefault="00D929A7">
      <w:pPr>
        <w:rPr>
          <w:rFonts w:ascii="Arial" w:hAnsi="Arial" w:cs="Arial"/>
        </w:rPr>
      </w:pPr>
    </w:p>
    <w:sectPr w:rsidR="00D929A7" w:rsidRPr="006F2D9E" w:rsidSect="00334B8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C7673" w14:textId="77777777" w:rsidR="004F3A9A" w:rsidRDefault="004F3A9A" w:rsidP="000A50D3">
      <w:pPr>
        <w:spacing w:after="0" w:line="240" w:lineRule="auto"/>
      </w:pPr>
      <w:r>
        <w:separator/>
      </w:r>
    </w:p>
  </w:endnote>
  <w:endnote w:type="continuationSeparator" w:id="0">
    <w:p w14:paraId="008369D3" w14:textId="77777777" w:rsidR="004F3A9A" w:rsidRDefault="004F3A9A" w:rsidP="000A5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6F88" w14:textId="77777777" w:rsidR="003403D5" w:rsidRDefault="003403D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91DE0" w14:textId="77777777" w:rsidR="003403D5" w:rsidRDefault="003403D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BD37B" w14:textId="77777777" w:rsidR="003403D5" w:rsidRDefault="003403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3D9A" w14:textId="77777777" w:rsidR="004F3A9A" w:rsidRDefault="004F3A9A" w:rsidP="000A50D3">
      <w:pPr>
        <w:spacing w:after="0" w:line="240" w:lineRule="auto"/>
      </w:pPr>
      <w:r>
        <w:separator/>
      </w:r>
    </w:p>
  </w:footnote>
  <w:footnote w:type="continuationSeparator" w:id="0">
    <w:p w14:paraId="7D4499BD" w14:textId="77777777" w:rsidR="004F3A9A" w:rsidRDefault="004F3A9A" w:rsidP="000A50D3">
      <w:pPr>
        <w:spacing w:after="0" w:line="240" w:lineRule="auto"/>
      </w:pPr>
      <w:r>
        <w:continuationSeparator/>
      </w:r>
    </w:p>
  </w:footnote>
  <w:footnote w:id="1">
    <w:p w14:paraId="616E22FB"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Die staatskirchenrechtliche Zuordnung sollte gerichtsfest begründbar sein. Für die Zuordnung einer rechtlich selbstständigen gGmbH zur römisch-katholischen Kirche ist allerdings nicht ausreichend, dass die Gesellschaft auf die Verwirklichung eines kirchlichen Auftrags gerichtet ist. Hinzukommen muss ein Mindestmaß an Einflussmöglichkeiten der Kirchenleitung, um auf Dauer eine Übereinstimmung mit kirchlichen Vorstellungen gewährleisten zu können.</w:t>
      </w:r>
    </w:p>
  </w:footnote>
  <w:footnote w:id="2">
    <w:p w14:paraId="616E22FC"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Eine </w:t>
      </w:r>
      <w:r w:rsidRPr="006F2D9E">
        <w:rPr>
          <w:rFonts w:ascii="Arial" w:hAnsi="Arial" w:cs="Arial"/>
          <w:szCs w:val="22"/>
        </w:rPr>
        <w:t>Mehrheitsbeteiligung von Gliederungen der römisch-katholischen Kirche ist zwingende Voraussetzung für eine Genehmigung des Gesellschaftsvertrages, die Beteiligung von Gliederungen der römisch-katholischen Kirche am Stammkapital muss mindestens 51 Prozent entsprechen.</w:t>
      </w:r>
    </w:p>
  </w:footnote>
  <w:footnote w:id="3">
    <w:p w14:paraId="616E22FD"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Ist individuell auf die örtlichen Gegebenheiten anzupassen.</w:t>
      </w:r>
    </w:p>
  </w:footnote>
  <w:footnote w:id="4">
    <w:p w14:paraId="616E22FE" w14:textId="77777777" w:rsidR="000A50D3" w:rsidRDefault="000A50D3" w:rsidP="000A50D3">
      <w:pPr>
        <w:pStyle w:val="Funotentext"/>
        <w:rPr>
          <w:rFonts w:ascii="Lucida Sans" w:hAnsi="Lucida Sans"/>
        </w:rPr>
      </w:pPr>
      <w:r w:rsidRPr="006F2D9E">
        <w:rPr>
          <w:rStyle w:val="Funotenzeichen"/>
          <w:rFonts w:ascii="Arial" w:hAnsi="Arial" w:cs="Arial"/>
        </w:rPr>
        <w:footnoteRef/>
      </w:r>
      <w:r w:rsidRPr="006F2D9E">
        <w:rPr>
          <w:rFonts w:ascii="Arial" w:hAnsi="Arial" w:cs="Arial"/>
        </w:rPr>
        <w:t xml:space="preserve"> Ist individuell auf die örtlichen Gegebenheiten anzupassen.</w:t>
      </w:r>
    </w:p>
  </w:footnote>
  <w:footnote w:id="5">
    <w:p w14:paraId="616E22FF"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Name des Vereines entsprechend der Eintragung im Vereinsregister</w:t>
      </w:r>
    </w:p>
  </w:footnote>
  <w:footnote w:id="6">
    <w:p w14:paraId="05F7D123" w14:textId="2F759C92" w:rsidR="008F264B" w:rsidRPr="006F2D9E" w:rsidRDefault="008F264B">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FA0A" w14:textId="77777777" w:rsidR="003403D5" w:rsidRDefault="003403D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1242" w14:textId="234E8360" w:rsidR="00334B89" w:rsidRDefault="004F3A9A" w:rsidP="00334B89">
    <w:pPr>
      <w:pStyle w:val="Kopfzeile"/>
    </w:pPr>
    <w:sdt>
      <w:sdtPr>
        <w:id w:val="1704979692"/>
        <w:placeholder>
          <w:docPart w:val="C0BFD1720130471E8E6F5CDBBAC75C83"/>
        </w:placeholder>
        <w:temporary/>
        <w:showingPlcHdr/>
        <w15:appearance w15:val="hidden"/>
      </w:sdtPr>
      <w:sdtEndPr/>
      <w:sdtContent>
        <w:r w:rsidR="00334B89">
          <w:t>[Hier eingeben]</w:t>
        </w:r>
      </w:sdtContent>
    </w:sdt>
    <w:r w:rsidR="00334B89">
      <w:ptab w:relativeTo="margin" w:alignment="center" w:leader="none"/>
    </w:r>
    <w:sdt>
      <w:sdtPr>
        <w:id w:val="968859947"/>
        <w:placeholder>
          <w:docPart w:val="C0BFD1720130471E8E6F5CDBBAC75C83"/>
        </w:placeholder>
        <w:temporary/>
        <w:showingPlcHdr/>
        <w15:appearance w15:val="hidden"/>
      </w:sdtPr>
      <w:sdtEndPr/>
      <w:sdtContent>
        <w:r w:rsidR="00334B89">
          <w:t>[Hier eingeben]</w:t>
        </w:r>
      </w:sdtContent>
    </w:sdt>
    <w:r w:rsidR="00334B89">
      <w:ptab w:relativeTo="margin" w:alignment="right" w:leader="none"/>
    </w:r>
    <w:r w:rsidR="00334B89">
      <w:rPr>
        <w:sz w:val="20"/>
        <w:szCs w:val="20"/>
      </w:rPr>
      <w:t xml:space="preserve">Stand: </w:t>
    </w:r>
    <w:r w:rsidR="00855315">
      <w:rPr>
        <w:sz w:val="20"/>
        <w:szCs w:val="20"/>
      </w:rPr>
      <w:t>3</w:t>
    </w:r>
    <w:r w:rsidR="00334B89">
      <w:rPr>
        <w:sz w:val="20"/>
        <w:szCs w:val="20"/>
      </w:rPr>
      <w:t xml:space="preserve">. </w:t>
    </w:r>
    <w:r w:rsidR="00855315">
      <w:rPr>
        <w:sz w:val="20"/>
        <w:szCs w:val="20"/>
      </w:rPr>
      <w:t>Dezember</w:t>
    </w:r>
    <w:r w:rsidR="00334B89">
      <w:rPr>
        <w:sz w:val="20"/>
        <w:szCs w:val="20"/>
      </w:rPr>
      <w:t xml:space="preserve">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64E27" w14:textId="77777777" w:rsidR="003403D5" w:rsidRDefault="003403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3A3"/>
    <w:multiLevelType w:val="hybridMultilevel"/>
    <w:tmpl w:val="40A8E8E8"/>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 w15:restartNumberingAfterBreak="0">
    <w:nsid w:val="0A9A7490"/>
    <w:multiLevelType w:val="hybridMultilevel"/>
    <w:tmpl w:val="87426AF4"/>
    <w:lvl w:ilvl="0" w:tplc="04070019">
      <w:start w:val="1"/>
      <w:numFmt w:val="lowerLetter"/>
      <w:lvlText w:val="%1."/>
      <w:lvlJc w:val="left"/>
      <w:pPr>
        <w:ind w:left="1440" w:hanging="360"/>
      </w:p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2" w15:restartNumberingAfterBreak="0">
    <w:nsid w:val="0AF62628"/>
    <w:multiLevelType w:val="hybridMultilevel"/>
    <w:tmpl w:val="F176D248"/>
    <w:lvl w:ilvl="0" w:tplc="DBA62140">
      <w:start w:val="1"/>
      <w:numFmt w:val="decimal"/>
      <w:lvlText w:val="(%1)"/>
      <w:lvlJc w:val="left"/>
      <w:pPr>
        <w:ind w:left="153" w:hanging="360"/>
      </w:pPr>
    </w:lvl>
    <w:lvl w:ilvl="1" w:tplc="04070019">
      <w:start w:val="1"/>
      <w:numFmt w:val="lowerLetter"/>
      <w:lvlText w:val="%2."/>
      <w:lvlJc w:val="left"/>
      <w:pPr>
        <w:ind w:left="873" w:hanging="360"/>
      </w:pPr>
    </w:lvl>
    <w:lvl w:ilvl="2" w:tplc="0407001B">
      <w:start w:val="1"/>
      <w:numFmt w:val="lowerRoman"/>
      <w:lvlText w:val="%3."/>
      <w:lvlJc w:val="right"/>
      <w:pPr>
        <w:ind w:left="1593" w:hanging="180"/>
      </w:pPr>
    </w:lvl>
    <w:lvl w:ilvl="3" w:tplc="0407000F">
      <w:start w:val="1"/>
      <w:numFmt w:val="decimal"/>
      <w:lvlText w:val="%4."/>
      <w:lvlJc w:val="left"/>
      <w:pPr>
        <w:ind w:left="2313" w:hanging="360"/>
      </w:pPr>
    </w:lvl>
    <w:lvl w:ilvl="4" w:tplc="04070019">
      <w:start w:val="1"/>
      <w:numFmt w:val="lowerLetter"/>
      <w:lvlText w:val="%5."/>
      <w:lvlJc w:val="left"/>
      <w:pPr>
        <w:ind w:left="3033" w:hanging="360"/>
      </w:pPr>
    </w:lvl>
    <w:lvl w:ilvl="5" w:tplc="0407001B">
      <w:start w:val="1"/>
      <w:numFmt w:val="lowerRoman"/>
      <w:lvlText w:val="%6."/>
      <w:lvlJc w:val="right"/>
      <w:pPr>
        <w:ind w:left="3753" w:hanging="180"/>
      </w:pPr>
    </w:lvl>
    <w:lvl w:ilvl="6" w:tplc="0407000F">
      <w:start w:val="1"/>
      <w:numFmt w:val="decimal"/>
      <w:lvlText w:val="%7."/>
      <w:lvlJc w:val="left"/>
      <w:pPr>
        <w:ind w:left="4473" w:hanging="360"/>
      </w:pPr>
    </w:lvl>
    <w:lvl w:ilvl="7" w:tplc="04070019">
      <w:start w:val="1"/>
      <w:numFmt w:val="lowerLetter"/>
      <w:lvlText w:val="%8."/>
      <w:lvlJc w:val="left"/>
      <w:pPr>
        <w:ind w:left="5193" w:hanging="360"/>
      </w:pPr>
    </w:lvl>
    <w:lvl w:ilvl="8" w:tplc="0407001B">
      <w:start w:val="1"/>
      <w:numFmt w:val="lowerRoman"/>
      <w:lvlText w:val="%9."/>
      <w:lvlJc w:val="right"/>
      <w:pPr>
        <w:ind w:left="5913" w:hanging="180"/>
      </w:pPr>
    </w:lvl>
  </w:abstractNum>
  <w:abstractNum w:abstractNumId="3" w15:restartNumberingAfterBreak="0">
    <w:nsid w:val="0B487DC1"/>
    <w:multiLevelType w:val="hybridMultilevel"/>
    <w:tmpl w:val="89248A26"/>
    <w:lvl w:ilvl="0" w:tplc="1D8AA070">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4" w15:restartNumberingAfterBreak="0">
    <w:nsid w:val="0D7F02A9"/>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5" w15:restartNumberingAfterBreak="0">
    <w:nsid w:val="10274A09"/>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18390768"/>
    <w:multiLevelType w:val="hybridMultilevel"/>
    <w:tmpl w:val="D040C654"/>
    <w:lvl w:ilvl="0" w:tplc="B5726916">
      <w:start w:val="1"/>
      <w:numFmt w:val="decimal"/>
      <w:lvlText w:val="(%1)"/>
      <w:lvlJc w:val="left"/>
      <w:pPr>
        <w:ind w:left="3" w:hanging="57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7" w15:restartNumberingAfterBreak="0">
    <w:nsid w:val="1DB85337"/>
    <w:multiLevelType w:val="hybridMultilevel"/>
    <w:tmpl w:val="910877DA"/>
    <w:lvl w:ilvl="0" w:tplc="E7983D14">
      <w:start w:val="1"/>
      <w:numFmt w:val="decimal"/>
      <w:lvlText w:val="(%1)"/>
      <w:lvlJc w:val="left"/>
      <w:pPr>
        <w:ind w:left="3" w:hanging="57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8" w15:restartNumberingAfterBreak="0">
    <w:nsid w:val="1F1E69AB"/>
    <w:multiLevelType w:val="hybridMultilevel"/>
    <w:tmpl w:val="0F8CACCE"/>
    <w:lvl w:ilvl="0" w:tplc="04070019">
      <w:start w:val="1"/>
      <w:numFmt w:val="lowerLetter"/>
      <w:lvlText w:val="%1."/>
      <w:lvlJc w:val="left"/>
      <w:pPr>
        <w:ind w:left="1440" w:hanging="360"/>
      </w:pPr>
    </w:lvl>
    <w:lvl w:ilvl="1" w:tplc="0407000F">
      <w:start w:val="1"/>
      <w:numFmt w:val="decimal"/>
      <w:lvlText w:val="%2."/>
      <w:lvlJc w:val="left"/>
      <w:pPr>
        <w:ind w:left="2370" w:hanging="57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9" w15:restartNumberingAfterBreak="0">
    <w:nsid w:val="39BF1A7B"/>
    <w:multiLevelType w:val="hybridMultilevel"/>
    <w:tmpl w:val="36E20D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3C315667"/>
    <w:multiLevelType w:val="hybridMultilevel"/>
    <w:tmpl w:val="F176D248"/>
    <w:lvl w:ilvl="0" w:tplc="DBA62140">
      <w:start w:val="1"/>
      <w:numFmt w:val="decimal"/>
      <w:lvlText w:val="(%1)"/>
      <w:lvlJc w:val="left"/>
      <w:pPr>
        <w:ind w:left="153" w:hanging="360"/>
      </w:pPr>
    </w:lvl>
    <w:lvl w:ilvl="1" w:tplc="04070019">
      <w:start w:val="1"/>
      <w:numFmt w:val="lowerLetter"/>
      <w:lvlText w:val="%2."/>
      <w:lvlJc w:val="left"/>
      <w:pPr>
        <w:ind w:left="873" w:hanging="360"/>
      </w:pPr>
    </w:lvl>
    <w:lvl w:ilvl="2" w:tplc="0407001B">
      <w:start w:val="1"/>
      <w:numFmt w:val="lowerRoman"/>
      <w:lvlText w:val="%3."/>
      <w:lvlJc w:val="right"/>
      <w:pPr>
        <w:ind w:left="1593" w:hanging="180"/>
      </w:pPr>
    </w:lvl>
    <w:lvl w:ilvl="3" w:tplc="0407000F">
      <w:start w:val="1"/>
      <w:numFmt w:val="decimal"/>
      <w:lvlText w:val="%4."/>
      <w:lvlJc w:val="left"/>
      <w:pPr>
        <w:ind w:left="2313" w:hanging="360"/>
      </w:pPr>
    </w:lvl>
    <w:lvl w:ilvl="4" w:tplc="04070019">
      <w:start w:val="1"/>
      <w:numFmt w:val="lowerLetter"/>
      <w:lvlText w:val="%5."/>
      <w:lvlJc w:val="left"/>
      <w:pPr>
        <w:ind w:left="3033" w:hanging="360"/>
      </w:pPr>
    </w:lvl>
    <w:lvl w:ilvl="5" w:tplc="0407001B">
      <w:start w:val="1"/>
      <w:numFmt w:val="lowerRoman"/>
      <w:lvlText w:val="%6."/>
      <w:lvlJc w:val="right"/>
      <w:pPr>
        <w:ind w:left="3753" w:hanging="180"/>
      </w:pPr>
    </w:lvl>
    <w:lvl w:ilvl="6" w:tplc="0407000F">
      <w:start w:val="1"/>
      <w:numFmt w:val="decimal"/>
      <w:lvlText w:val="%7."/>
      <w:lvlJc w:val="left"/>
      <w:pPr>
        <w:ind w:left="4473" w:hanging="360"/>
      </w:pPr>
    </w:lvl>
    <w:lvl w:ilvl="7" w:tplc="04070019">
      <w:start w:val="1"/>
      <w:numFmt w:val="lowerLetter"/>
      <w:lvlText w:val="%8."/>
      <w:lvlJc w:val="left"/>
      <w:pPr>
        <w:ind w:left="5193" w:hanging="360"/>
      </w:pPr>
    </w:lvl>
    <w:lvl w:ilvl="8" w:tplc="0407001B">
      <w:start w:val="1"/>
      <w:numFmt w:val="lowerRoman"/>
      <w:lvlText w:val="%9."/>
      <w:lvlJc w:val="right"/>
      <w:pPr>
        <w:ind w:left="5913" w:hanging="180"/>
      </w:pPr>
    </w:lvl>
  </w:abstractNum>
  <w:abstractNum w:abstractNumId="11" w15:restartNumberingAfterBreak="0">
    <w:nsid w:val="48C6245E"/>
    <w:multiLevelType w:val="hybridMultilevel"/>
    <w:tmpl w:val="B11AA7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495504CB"/>
    <w:multiLevelType w:val="hybridMultilevel"/>
    <w:tmpl w:val="B13257A0"/>
    <w:lvl w:ilvl="0" w:tplc="04070019">
      <w:start w:val="1"/>
      <w:numFmt w:val="lowerLetter"/>
      <w:lvlText w:val="%1."/>
      <w:lvlJc w:val="left"/>
      <w:pPr>
        <w:ind w:left="1440" w:hanging="360"/>
      </w:pPr>
    </w:lvl>
    <w:lvl w:ilvl="1" w:tplc="0504B676">
      <w:start w:val="1"/>
      <w:numFmt w:val="lowerLetter"/>
      <w:lvlText w:val="%2)"/>
      <w:lvlJc w:val="left"/>
      <w:pPr>
        <w:ind w:left="2370" w:hanging="57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3" w15:restartNumberingAfterBreak="0">
    <w:nsid w:val="49AD2F0D"/>
    <w:multiLevelType w:val="hybridMultilevel"/>
    <w:tmpl w:val="893E7F00"/>
    <w:lvl w:ilvl="0" w:tplc="0407000F">
      <w:start w:val="1"/>
      <w:numFmt w:val="decimal"/>
      <w:lvlText w:val="%1."/>
      <w:lvlJc w:val="left"/>
      <w:pPr>
        <w:ind w:left="705" w:hanging="360"/>
      </w:pPr>
    </w:lvl>
    <w:lvl w:ilvl="1" w:tplc="04070019">
      <w:start w:val="1"/>
      <w:numFmt w:val="lowerLetter"/>
      <w:lvlText w:val="%2."/>
      <w:lvlJc w:val="left"/>
      <w:pPr>
        <w:ind w:left="1425" w:hanging="360"/>
      </w:pPr>
    </w:lvl>
    <w:lvl w:ilvl="2" w:tplc="0407001B">
      <w:start w:val="1"/>
      <w:numFmt w:val="lowerRoman"/>
      <w:lvlText w:val="%3."/>
      <w:lvlJc w:val="right"/>
      <w:pPr>
        <w:ind w:left="2145" w:hanging="180"/>
      </w:pPr>
    </w:lvl>
    <w:lvl w:ilvl="3" w:tplc="0407000F">
      <w:start w:val="1"/>
      <w:numFmt w:val="decimal"/>
      <w:lvlText w:val="%4."/>
      <w:lvlJc w:val="left"/>
      <w:pPr>
        <w:ind w:left="2865" w:hanging="360"/>
      </w:pPr>
    </w:lvl>
    <w:lvl w:ilvl="4" w:tplc="04070019">
      <w:start w:val="1"/>
      <w:numFmt w:val="lowerLetter"/>
      <w:lvlText w:val="%5."/>
      <w:lvlJc w:val="left"/>
      <w:pPr>
        <w:ind w:left="3585" w:hanging="360"/>
      </w:pPr>
    </w:lvl>
    <w:lvl w:ilvl="5" w:tplc="0407001B">
      <w:start w:val="1"/>
      <w:numFmt w:val="lowerRoman"/>
      <w:lvlText w:val="%6."/>
      <w:lvlJc w:val="right"/>
      <w:pPr>
        <w:ind w:left="4305" w:hanging="180"/>
      </w:pPr>
    </w:lvl>
    <w:lvl w:ilvl="6" w:tplc="0407000F">
      <w:start w:val="1"/>
      <w:numFmt w:val="decimal"/>
      <w:lvlText w:val="%7."/>
      <w:lvlJc w:val="left"/>
      <w:pPr>
        <w:ind w:left="5025" w:hanging="360"/>
      </w:pPr>
    </w:lvl>
    <w:lvl w:ilvl="7" w:tplc="04070019">
      <w:start w:val="1"/>
      <w:numFmt w:val="lowerLetter"/>
      <w:lvlText w:val="%8."/>
      <w:lvlJc w:val="left"/>
      <w:pPr>
        <w:ind w:left="5745" w:hanging="360"/>
      </w:pPr>
    </w:lvl>
    <w:lvl w:ilvl="8" w:tplc="0407001B">
      <w:start w:val="1"/>
      <w:numFmt w:val="lowerRoman"/>
      <w:lvlText w:val="%9."/>
      <w:lvlJc w:val="right"/>
      <w:pPr>
        <w:ind w:left="6465" w:hanging="180"/>
      </w:pPr>
    </w:lvl>
  </w:abstractNum>
  <w:abstractNum w:abstractNumId="14" w15:restartNumberingAfterBreak="0">
    <w:nsid w:val="4A0036BA"/>
    <w:multiLevelType w:val="hybridMultilevel"/>
    <w:tmpl w:val="5FA0CFE2"/>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58D4069"/>
    <w:multiLevelType w:val="hybridMultilevel"/>
    <w:tmpl w:val="B13257A0"/>
    <w:lvl w:ilvl="0" w:tplc="04070019">
      <w:start w:val="1"/>
      <w:numFmt w:val="lowerLetter"/>
      <w:lvlText w:val="%1."/>
      <w:lvlJc w:val="left"/>
      <w:pPr>
        <w:ind w:left="1440" w:hanging="360"/>
      </w:pPr>
    </w:lvl>
    <w:lvl w:ilvl="1" w:tplc="0504B676">
      <w:start w:val="1"/>
      <w:numFmt w:val="lowerLetter"/>
      <w:lvlText w:val="%2)"/>
      <w:lvlJc w:val="left"/>
      <w:pPr>
        <w:ind w:left="2370" w:hanging="57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6" w15:restartNumberingAfterBreak="0">
    <w:nsid w:val="5A8D26A6"/>
    <w:multiLevelType w:val="hybridMultilevel"/>
    <w:tmpl w:val="155268E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386C128E">
      <w:start w:val="2"/>
      <w:numFmt w:val="bullet"/>
      <w:lvlText w:val="•"/>
      <w:lvlJc w:val="left"/>
      <w:pPr>
        <w:ind w:left="2685" w:hanging="705"/>
      </w:pPr>
      <w:rPr>
        <w:rFonts w:ascii="Lucida Sans" w:eastAsiaTheme="minorHAnsi" w:hAnsi="Lucida Sans" w:cs="Arial" w:hint="default"/>
      </w:rPr>
    </w:lvl>
    <w:lvl w:ilvl="3" w:tplc="F4782346">
      <w:start w:val="1"/>
      <w:numFmt w:val="decimal"/>
      <w:lvlText w:val="%4."/>
      <w:lvlJc w:val="left"/>
      <w:pPr>
        <w:ind w:left="2890" w:hanging="37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63D95839"/>
    <w:multiLevelType w:val="hybridMultilevel"/>
    <w:tmpl w:val="92E62E72"/>
    <w:lvl w:ilvl="0" w:tplc="0407000F">
      <w:start w:val="1"/>
      <w:numFmt w:val="decimal"/>
      <w:lvlText w:val="%1."/>
      <w:lvlJc w:val="left"/>
      <w:pPr>
        <w:ind w:left="873" w:hanging="360"/>
      </w:pPr>
    </w:lvl>
    <w:lvl w:ilvl="1" w:tplc="04070019">
      <w:start w:val="1"/>
      <w:numFmt w:val="lowerLetter"/>
      <w:lvlText w:val="%2."/>
      <w:lvlJc w:val="left"/>
      <w:pPr>
        <w:ind w:left="1593" w:hanging="360"/>
      </w:pPr>
    </w:lvl>
    <w:lvl w:ilvl="2" w:tplc="0407001B">
      <w:start w:val="1"/>
      <w:numFmt w:val="lowerRoman"/>
      <w:lvlText w:val="%3."/>
      <w:lvlJc w:val="right"/>
      <w:pPr>
        <w:ind w:left="2313" w:hanging="180"/>
      </w:pPr>
    </w:lvl>
    <w:lvl w:ilvl="3" w:tplc="0407000F">
      <w:start w:val="1"/>
      <w:numFmt w:val="decimal"/>
      <w:lvlText w:val="%4."/>
      <w:lvlJc w:val="left"/>
      <w:pPr>
        <w:ind w:left="3033" w:hanging="360"/>
      </w:pPr>
    </w:lvl>
    <w:lvl w:ilvl="4" w:tplc="04070019">
      <w:start w:val="1"/>
      <w:numFmt w:val="lowerLetter"/>
      <w:lvlText w:val="%5."/>
      <w:lvlJc w:val="left"/>
      <w:pPr>
        <w:ind w:left="3753" w:hanging="360"/>
      </w:pPr>
    </w:lvl>
    <w:lvl w:ilvl="5" w:tplc="0407001B">
      <w:start w:val="1"/>
      <w:numFmt w:val="lowerRoman"/>
      <w:lvlText w:val="%6."/>
      <w:lvlJc w:val="right"/>
      <w:pPr>
        <w:ind w:left="4473" w:hanging="180"/>
      </w:pPr>
    </w:lvl>
    <w:lvl w:ilvl="6" w:tplc="0407000F">
      <w:start w:val="1"/>
      <w:numFmt w:val="decimal"/>
      <w:lvlText w:val="%7."/>
      <w:lvlJc w:val="left"/>
      <w:pPr>
        <w:ind w:left="5193" w:hanging="360"/>
      </w:pPr>
    </w:lvl>
    <w:lvl w:ilvl="7" w:tplc="04070019">
      <w:start w:val="1"/>
      <w:numFmt w:val="lowerLetter"/>
      <w:lvlText w:val="%8."/>
      <w:lvlJc w:val="left"/>
      <w:pPr>
        <w:ind w:left="5913" w:hanging="360"/>
      </w:pPr>
    </w:lvl>
    <w:lvl w:ilvl="8" w:tplc="0407001B">
      <w:start w:val="1"/>
      <w:numFmt w:val="lowerRoman"/>
      <w:lvlText w:val="%9."/>
      <w:lvlJc w:val="right"/>
      <w:pPr>
        <w:ind w:left="6633" w:hanging="180"/>
      </w:pPr>
    </w:lvl>
  </w:abstractNum>
  <w:abstractNum w:abstractNumId="18" w15:restartNumberingAfterBreak="0">
    <w:nsid w:val="66E23DDD"/>
    <w:multiLevelType w:val="hybridMultilevel"/>
    <w:tmpl w:val="87426AF4"/>
    <w:lvl w:ilvl="0" w:tplc="04070019">
      <w:start w:val="1"/>
      <w:numFmt w:val="lowerLetter"/>
      <w:lvlText w:val="%1."/>
      <w:lvlJc w:val="left"/>
      <w:pPr>
        <w:ind w:left="1440" w:hanging="360"/>
      </w:p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9" w15:restartNumberingAfterBreak="0">
    <w:nsid w:val="71256C52"/>
    <w:multiLevelType w:val="hybridMultilevel"/>
    <w:tmpl w:val="77325A54"/>
    <w:lvl w:ilvl="0" w:tplc="04070017">
      <w:start w:val="1"/>
      <w:numFmt w:val="lowerLetter"/>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0" w15:restartNumberingAfterBreak="0">
    <w:nsid w:val="7CBD3F61"/>
    <w:multiLevelType w:val="hybridMultilevel"/>
    <w:tmpl w:val="6D94214C"/>
    <w:lvl w:ilvl="0" w:tplc="DBA62140">
      <w:start w:val="1"/>
      <w:numFmt w:val="decimal"/>
      <w:lvlText w:val="(%1)"/>
      <w:lvlJc w:val="left"/>
      <w:pPr>
        <w:ind w:left="153" w:hanging="360"/>
      </w:pPr>
    </w:lvl>
    <w:lvl w:ilvl="1" w:tplc="0407000F">
      <w:start w:val="1"/>
      <w:numFmt w:val="decimal"/>
      <w:lvlText w:val="%2."/>
      <w:lvlJc w:val="left"/>
      <w:pPr>
        <w:ind w:left="873" w:hanging="360"/>
      </w:pPr>
    </w:lvl>
    <w:lvl w:ilvl="2" w:tplc="0407001B">
      <w:start w:val="1"/>
      <w:numFmt w:val="lowerRoman"/>
      <w:lvlText w:val="%3."/>
      <w:lvlJc w:val="right"/>
      <w:pPr>
        <w:ind w:left="1593" w:hanging="180"/>
      </w:pPr>
    </w:lvl>
    <w:lvl w:ilvl="3" w:tplc="0407000F">
      <w:start w:val="1"/>
      <w:numFmt w:val="decimal"/>
      <w:lvlText w:val="%4."/>
      <w:lvlJc w:val="left"/>
      <w:pPr>
        <w:ind w:left="2313" w:hanging="360"/>
      </w:pPr>
    </w:lvl>
    <w:lvl w:ilvl="4" w:tplc="04070019">
      <w:start w:val="1"/>
      <w:numFmt w:val="lowerLetter"/>
      <w:lvlText w:val="%5."/>
      <w:lvlJc w:val="left"/>
      <w:pPr>
        <w:ind w:left="3033" w:hanging="360"/>
      </w:pPr>
    </w:lvl>
    <w:lvl w:ilvl="5" w:tplc="0407001B">
      <w:start w:val="1"/>
      <w:numFmt w:val="lowerRoman"/>
      <w:lvlText w:val="%6."/>
      <w:lvlJc w:val="right"/>
      <w:pPr>
        <w:ind w:left="3753" w:hanging="180"/>
      </w:pPr>
    </w:lvl>
    <w:lvl w:ilvl="6" w:tplc="0407000F">
      <w:start w:val="1"/>
      <w:numFmt w:val="decimal"/>
      <w:lvlText w:val="%7."/>
      <w:lvlJc w:val="left"/>
      <w:pPr>
        <w:ind w:left="4473" w:hanging="360"/>
      </w:pPr>
    </w:lvl>
    <w:lvl w:ilvl="7" w:tplc="04070019">
      <w:start w:val="1"/>
      <w:numFmt w:val="lowerLetter"/>
      <w:lvlText w:val="%8."/>
      <w:lvlJc w:val="left"/>
      <w:pPr>
        <w:ind w:left="5193" w:hanging="360"/>
      </w:pPr>
    </w:lvl>
    <w:lvl w:ilvl="8" w:tplc="0407001B">
      <w:start w:val="1"/>
      <w:numFmt w:val="lowerRoman"/>
      <w:lvlText w:val="%9."/>
      <w:lvlJc w:val="right"/>
      <w:pPr>
        <w:ind w:left="5913" w:hanging="180"/>
      </w:pPr>
    </w:lvl>
  </w:abstractNum>
  <w:abstractNum w:abstractNumId="21" w15:restartNumberingAfterBreak="0">
    <w:nsid w:val="7EC8142B"/>
    <w:multiLevelType w:val="hybridMultilevel"/>
    <w:tmpl w:val="BA828A6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num w:numId="1" w16cid:durableId="1651984667">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218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945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3385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60779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1672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02151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8574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24939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4653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7508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98444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6017957">
    <w:abstractNumId w:val="14"/>
    <w:lvlOverride w:ilvl="0">
      <w:startOverride w:val="1"/>
    </w:lvlOverride>
    <w:lvlOverride w:ilvl="1"/>
    <w:lvlOverride w:ilvl="2"/>
    <w:lvlOverride w:ilvl="3"/>
    <w:lvlOverride w:ilvl="4"/>
    <w:lvlOverride w:ilvl="5"/>
    <w:lvlOverride w:ilvl="6"/>
    <w:lvlOverride w:ilvl="7"/>
    <w:lvlOverride w:ilvl="8"/>
  </w:num>
  <w:num w:numId="14" w16cid:durableId="2777620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40975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06937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4128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58063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21526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6889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21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54828">
    <w:abstractNumId w:val="9"/>
  </w:num>
  <w:num w:numId="23" w16cid:durableId="59254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0D3"/>
    <w:rsid w:val="000A50D3"/>
    <w:rsid w:val="001D4AE5"/>
    <w:rsid w:val="00235EAC"/>
    <w:rsid w:val="002952FB"/>
    <w:rsid w:val="00296E53"/>
    <w:rsid w:val="00334B89"/>
    <w:rsid w:val="003403D5"/>
    <w:rsid w:val="003A4F79"/>
    <w:rsid w:val="00411A1F"/>
    <w:rsid w:val="00434898"/>
    <w:rsid w:val="004F3A9A"/>
    <w:rsid w:val="005041AD"/>
    <w:rsid w:val="00580D0B"/>
    <w:rsid w:val="00621B9F"/>
    <w:rsid w:val="006922E4"/>
    <w:rsid w:val="006E4090"/>
    <w:rsid w:val="006F2D9E"/>
    <w:rsid w:val="00855315"/>
    <w:rsid w:val="00884320"/>
    <w:rsid w:val="008F264B"/>
    <w:rsid w:val="008F515E"/>
    <w:rsid w:val="009855EC"/>
    <w:rsid w:val="009A0013"/>
    <w:rsid w:val="00A60577"/>
    <w:rsid w:val="00B944F8"/>
    <w:rsid w:val="00BD381D"/>
    <w:rsid w:val="00C01881"/>
    <w:rsid w:val="00C75481"/>
    <w:rsid w:val="00C91F36"/>
    <w:rsid w:val="00D929A7"/>
    <w:rsid w:val="00DA6493"/>
    <w:rsid w:val="00DE61C8"/>
    <w:rsid w:val="00E44134"/>
    <w:rsid w:val="00EC5C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E2205"/>
  <w15:chartTrackingRefBased/>
  <w15:docId w15:val="{5DED49E2-C652-47F7-8E34-A608703D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50D3"/>
    <w:pPr>
      <w:spacing w:after="167" w:line="268" w:lineRule="auto"/>
      <w:ind w:left="10" w:right="2" w:hanging="10"/>
      <w:jc w:val="both"/>
    </w:pPr>
    <w:rPr>
      <w:rFonts w:ascii="Trebuchet MS" w:eastAsia="Trebuchet MS" w:hAnsi="Trebuchet MS" w:cs="Trebuchet MS"/>
      <w:color w:val="00000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0A50D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50D3"/>
    <w:rPr>
      <w:rFonts w:ascii="Trebuchet MS" w:eastAsia="Trebuchet MS" w:hAnsi="Trebuchet MS" w:cs="Trebuchet MS"/>
      <w:color w:val="000000"/>
      <w:sz w:val="20"/>
      <w:szCs w:val="20"/>
      <w:lang w:eastAsia="de-DE"/>
    </w:rPr>
  </w:style>
  <w:style w:type="paragraph" w:styleId="Listenabsatz">
    <w:name w:val="List Paragraph"/>
    <w:basedOn w:val="Standard"/>
    <w:uiPriority w:val="34"/>
    <w:qFormat/>
    <w:rsid w:val="000A50D3"/>
    <w:pPr>
      <w:ind w:left="720"/>
      <w:contextualSpacing/>
    </w:pPr>
  </w:style>
  <w:style w:type="character" w:styleId="Funotenzeichen">
    <w:name w:val="footnote reference"/>
    <w:basedOn w:val="Absatz-Standardschriftart"/>
    <w:uiPriority w:val="99"/>
    <w:semiHidden/>
    <w:unhideWhenUsed/>
    <w:rsid w:val="000A50D3"/>
    <w:rPr>
      <w:vertAlign w:val="superscript"/>
    </w:rPr>
  </w:style>
  <w:style w:type="paragraph" w:styleId="Kopfzeile">
    <w:name w:val="header"/>
    <w:basedOn w:val="Standard"/>
    <w:link w:val="KopfzeileZchn"/>
    <w:uiPriority w:val="99"/>
    <w:unhideWhenUsed/>
    <w:rsid w:val="00334B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34B89"/>
    <w:rPr>
      <w:rFonts w:ascii="Trebuchet MS" w:eastAsia="Trebuchet MS" w:hAnsi="Trebuchet MS" w:cs="Trebuchet MS"/>
      <w:color w:val="000000"/>
      <w:lang w:eastAsia="de-DE"/>
    </w:rPr>
  </w:style>
  <w:style w:type="paragraph" w:styleId="Fuzeile">
    <w:name w:val="footer"/>
    <w:basedOn w:val="Standard"/>
    <w:link w:val="FuzeileZchn"/>
    <w:uiPriority w:val="99"/>
    <w:unhideWhenUsed/>
    <w:rsid w:val="00334B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34B89"/>
    <w:rPr>
      <w:rFonts w:ascii="Trebuchet MS" w:eastAsia="Trebuchet MS" w:hAnsi="Trebuchet MS" w:cs="Trebuchet MS"/>
      <w:color w:val="000000"/>
      <w:lang w:eastAsia="de-DE"/>
    </w:rPr>
  </w:style>
  <w:style w:type="paragraph" w:customStyle="1" w:styleId="Default">
    <w:name w:val="Default"/>
    <w:rsid w:val="00334B8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8040">
      <w:bodyDiv w:val="1"/>
      <w:marLeft w:val="0"/>
      <w:marRight w:val="0"/>
      <w:marTop w:val="0"/>
      <w:marBottom w:val="0"/>
      <w:divBdr>
        <w:top w:val="none" w:sz="0" w:space="0" w:color="auto"/>
        <w:left w:val="none" w:sz="0" w:space="0" w:color="auto"/>
        <w:bottom w:val="none" w:sz="0" w:space="0" w:color="auto"/>
        <w:right w:val="none" w:sz="0" w:space="0" w:color="auto"/>
      </w:divBdr>
    </w:div>
    <w:div w:id="1069697443">
      <w:bodyDiv w:val="1"/>
      <w:marLeft w:val="0"/>
      <w:marRight w:val="0"/>
      <w:marTop w:val="0"/>
      <w:marBottom w:val="0"/>
      <w:divBdr>
        <w:top w:val="none" w:sz="0" w:space="0" w:color="auto"/>
        <w:left w:val="none" w:sz="0" w:space="0" w:color="auto"/>
        <w:bottom w:val="none" w:sz="0" w:space="0" w:color="auto"/>
        <w:right w:val="none" w:sz="0" w:space="0" w:color="auto"/>
      </w:divBdr>
    </w:div>
    <w:div w:id="174614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BFD1720130471E8E6F5CDBBAC75C83"/>
        <w:category>
          <w:name w:val="Allgemein"/>
          <w:gallery w:val="placeholder"/>
        </w:category>
        <w:types>
          <w:type w:val="bbPlcHdr"/>
        </w:types>
        <w:behaviors>
          <w:behavior w:val="content"/>
        </w:behaviors>
        <w:guid w:val="{99192FF5-6238-443E-B1C2-65540994E67D}"/>
      </w:docPartPr>
      <w:docPartBody>
        <w:p w:rsidR="00A7333E" w:rsidRDefault="00120726" w:rsidP="00120726">
          <w:pPr>
            <w:pStyle w:val="C0BFD1720130471E8E6F5CDBBAC75C83"/>
          </w:pPr>
          <w:r>
            <w:t>[Hier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726"/>
    <w:rsid w:val="000E5673"/>
    <w:rsid w:val="00120726"/>
    <w:rsid w:val="00235EAC"/>
    <w:rsid w:val="003C4425"/>
    <w:rsid w:val="00982713"/>
    <w:rsid w:val="00A7333E"/>
    <w:rsid w:val="00E44134"/>
    <w:rsid w:val="00E76F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0BFD1720130471E8E6F5CDBBAC75C83">
    <w:name w:val="C0BFD1720130471E8E6F5CDBBAC75C83"/>
    <w:rsid w:val="001207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4752</Words>
  <Characters>29944</Characters>
  <Application>Microsoft Office Word</Application>
  <DocSecurity>0</DocSecurity>
  <Lines>249</Lines>
  <Paragraphs>69</Paragraphs>
  <ScaleCrop>false</ScaleCrop>
  <HeadingPairs>
    <vt:vector size="2" baseType="variant">
      <vt:variant>
        <vt:lpstr>Titel</vt:lpstr>
      </vt:variant>
      <vt:variant>
        <vt:i4>1</vt:i4>
      </vt:variant>
    </vt:vector>
  </HeadingPairs>
  <TitlesOfParts>
    <vt:vector size="1" baseType="lpstr">
      <vt:lpstr/>
    </vt:vector>
  </TitlesOfParts>
  <Company>Erzbistum Freiburg</Company>
  <LinksUpToDate>false</LinksUpToDate>
  <CharactersWithSpaces>34627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Hirt Julia</dc:creator>
  <cp:keywords/>
  <dc:description/>
  <cp:lastModifiedBy>Hirt Julia</cp:lastModifiedBy>
  <cp:revision>3</cp:revision>
  <dcterms:created xsi:type="dcterms:W3CDTF">2026-06-15T05:39:00Z</dcterms:created>
  <dcterms:modified xsi:type="dcterms:W3CDTF">2026-06-15T05:41:00Z</dcterms:modified>
</cp:coreProperties>
</file>